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4A" w:rsidRDefault="006B754A">
      <w:pPr>
        <w:pStyle w:val="SCT"/>
      </w:pPr>
      <w:r>
        <w:rPr>
          <w:rStyle w:val="NAM"/>
        </w:rPr>
        <w:t>DEMOUNTABLE PARTITIONS</w:t>
      </w:r>
    </w:p>
    <w:p w:rsidR="006B754A" w:rsidRDefault="006B754A">
      <w:pPr>
        <w:pStyle w:val="PRT"/>
      </w:pPr>
      <w:r>
        <w:t>GENERAL</w:t>
      </w:r>
    </w:p>
    <w:p w:rsidR="006B754A" w:rsidRDefault="006B754A">
      <w:pPr>
        <w:pStyle w:val="ART"/>
      </w:pPr>
      <w:r>
        <w:t>RELATED DOCUMENTS</w:t>
      </w:r>
    </w:p>
    <w:p w:rsidR="006B754A" w:rsidRDefault="006B754A">
      <w:pPr>
        <w:pStyle w:val="PR1"/>
      </w:pPr>
      <w:r>
        <w:t>Drawings and general provisions of the Contract, including General and Supplementary Conditions and Division 01 Specification Sections, apply to this Section.</w:t>
      </w:r>
    </w:p>
    <w:p w:rsidR="006B754A" w:rsidRDefault="006B754A">
      <w:pPr>
        <w:pStyle w:val="ART"/>
      </w:pPr>
      <w:r>
        <w:t>SUMMARY</w:t>
      </w:r>
    </w:p>
    <w:p w:rsidR="006B754A" w:rsidRDefault="006B754A">
      <w:pPr>
        <w:pStyle w:val="PR1"/>
      </w:pPr>
      <w:r>
        <w:t>Section Includes:</w:t>
      </w:r>
    </w:p>
    <w:p w:rsidR="006B754A" w:rsidRDefault="006B754A">
      <w:pPr>
        <w:pStyle w:val="PR2"/>
        <w:spacing w:before="240"/>
      </w:pPr>
      <w:r>
        <w:t>Site-assembled demountable partitions.</w:t>
      </w:r>
    </w:p>
    <w:p w:rsidR="006B754A" w:rsidRDefault="006B754A">
      <w:pPr>
        <w:pStyle w:val="PR2"/>
      </w:pPr>
      <w:r>
        <w:t>Unitized-panel demountable partitions.</w:t>
      </w:r>
    </w:p>
    <w:p w:rsidR="006B754A" w:rsidRDefault="006B754A">
      <w:pPr>
        <w:pStyle w:val="ART"/>
      </w:pPr>
      <w:r>
        <w:t>ACTION SUBMITTALS</w:t>
      </w:r>
    </w:p>
    <w:p w:rsidR="006B754A" w:rsidRDefault="006B754A">
      <w:pPr>
        <w:pStyle w:val="PR1"/>
      </w:pPr>
      <w:r>
        <w:t>Product Data:</w:t>
      </w:r>
      <w:r w:rsidR="003C186D">
        <w:t xml:space="preserve"> </w:t>
      </w:r>
      <w:r>
        <w:t>For each type of product.</w:t>
      </w:r>
    </w:p>
    <w:p w:rsidR="006B754A" w:rsidRDefault="006B754A">
      <w:pPr>
        <w:pStyle w:val="PR1"/>
      </w:pPr>
      <w:r>
        <w:t>LEED Submittals:</w:t>
      </w:r>
    </w:p>
    <w:p w:rsidR="005B4A66" w:rsidRDefault="005B4A66" w:rsidP="005B4A66">
      <w:pPr>
        <w:pStyle w:val="PR1"/>
        <w:numPr>
          <w:ilvl w:val="0"/>
          <w:numId w:val="0"/>
        </w:numPr>
        <w:ind w:left="864"/>
      </w:pPr>
    </w:p>
    <w:p w:rsidR="006B754A" w:rsidRDefault="006B754A">
      <w:pPr>
        <w:pStyle w:val="PR2"/>
      </w:pPr>
      <w:r>
        <w:t>Product Data for Credit EQ 4.1:</w:t>
      </w:r>
      <w:r w:rsidR="003C186D">
        <w:t xml:space="preserve"> </w:t>
      </w:r>
      <w:r>
        <w:t>For installation adhesives, documentation including printed statement of VOC content.</w:t>
      </w:r>
    </w:p>
    <w:p w:rsidR="0064637A" w:rsidRPr="0004195E" w:rsidRDefault="006B754A" w:rsidP="0064637A">
      <w:pPr>
        <w:pStyle w:val="PR2"/>
        <w:numPr>
          <w:ilvl w:val="0"/>
          <w:numId w:val="0"/>
        </w:numPr>
        <w:ind w:left="1427"/>
        <w:rPr>
          <w:b/>
          <w:color w:val="FF0000"/>
        </w:rPr>
      </w:pPr>
      <w:r>
        <w:t>Laboratory Test Reports for Credit EQ 4:</w:t>
      </w:r>
      <w:r w:rsidR="003C186D">
        <w:t xml:space="preserve"> </w:t>
      </w:r>
      <w:r>
        <w:t>For [</w:t>
      </w:r>
      <w:r w:rsidRPr="0004195E">
        <w:rPr>
          <w:b/>
        </w:rPr>
        <w:t>adhesives</w:t>
      </w:r>
      <w:r>
        <w:t>] [</w:t>
      </w:r>
      <w:r w:rsidRPr="0004195E">
        <w:rPr>
          <w:b/>
        </w:rPr>
        <w:t>and</w:t>
      </w:r>
      <w:r>
        <w:t>] [</w:t>
      </w:r>
      <w:r w:rsidRPr="0004195E">
        <w:rPr>
          <w:b/>
        </w:rPr>
        <w:t>demountable partitions</w:t>
      </w:r>
      <w:r>
        <w:t xml:space="preserve">], documentation indicating that products comply with the testing </w:t>
      </w:r>
      <w:r w:rsidR="0004195E">
        <w:t>and product requirements of the EU regulations and ASTM Standard.</w:t>
      </w:r>
    </w:p>
    <w:p w:rsidR="006B754A" w:rsidRDefault="006B754A">
      <w:pPr>
        <w:pStyle w:val="PR1"/>
      </w:pPr>
      <w:r>
        <w:t>Shop Drawings:</w:t>
      </w:r>
      <w:r w:rsidR="003C186D">
        <w:t xml:space="preserve"> </w:t>
      </w:r>
      <w:r>
        <w:t>For demountable partitions.</w:t>
      </w:r>
    </w:p>
    <w:p w:rsidR="006B754A" w:rsidRDefault="006B754A">
      <w:pPr>
        <w:pStyle w:val="PR2"/>
        <w:spacing w:before="240"/>
      </w:pPr>
      <w:r>
        <w:t>Include plans, elevations, and sections; attachment details at floors, columns, permanent partitions, and ceilings; and method of erection and disassembly.</w:t>
      </w:r>
    </w:p>
    <w:p w:rsidR="000E6C59" w:rsidRDefault="000E6C59" w:rsidP="000E6C59">
      <w:pPr>
        <w:pStyle w:val="PR2"/>
        <w:numPr>
          <w:ilvl w:val="0"/>
          <w:numId w:val="0"/>
        </w:numPr>
        <w:ind w:left="1440"/>
      </w:pPr>
    </w:p>
    <w:p w:rsidR="006B754A" w:rsidRPr="00243655" w:rsidRDefault="006B754A" w:rsidP="00243655">
      <w:pPr>
        <w:pStyle w:val="PR1"/>
      </w:pPr>
      <w:r>
        <w:t>Samples:</w:t>
      </w:r>
      <w:r w:rsidR="003C186D">
        <w:t xml:space="preserve"> </w:t>
      </w:r>
      <w:r>
        <w:t>For each exposed product and for each color and texture specified</w:t>
      </w:r>
      <w:r w:rsidRPr="00243655">
        <w:t>, in manufacturer's standard sizes</w:t>
      </w:r>
      <w:r w:rsidR="00745121">
        <w:t xml:space="preserve"> </w:t>
      </w:r>
    </w:p>
    <w:p w:rsidR="00243655" w:rsidRDefault="00243655" w:rsidP="00243655">
      <w:pPr>
        <w:pStyle w:val="PR1"/>
        <w:numPr>
          <w:ilvl w:val="0"/>
          <w:numId w:val="0"/>
        </w:numPr>
        <w:ind w:left="864" w:hanging="576"/>
      </w:pPr>
    </w:p>
    <w:p w:rsidR="006B754A" w:rsidRDefault="006B754A">
      <w:pPr>
        <w:pStyle w:val="PR1"/>
      </w:pPr>
      <w:r>
        <w:t>Samples for Initial Selection:</w:t>
      </w:r>
      <w:r w:rsidR="003C186D">
        <w:t xml:space="preserve"> </w:t>
      </w:r>
      <w:r>
        <w:t>For each type of exposed finish.</w:t>
      </w:r>
    </w:p>
    <w:p w:rsidR="006B754A" w:rsidRDefault="006B754A">
      <w:pPr>
        <w:pStyle w:val="PR2"/>
        <w:spacing w:before="240"/>
      </w:pPr>
      <w:r>
        <w:t>Include Samples of hardware and accessories involving color or finish selection.</w:t>
      </w:r>
    </w:p>
    <w:p w:rsidR="006B754A" w:rsidRDefault="006B754A">
      <w:pPr>
        <w:pStyle w:val="PR1"/>
      </w:pPr>
      <w:r>
        <w:t>Samples for Verification:</w:t>
      </w:r>
      <w:r w:rsidR="003C186D">
        <w:t xml:space="preserve"> </w:t>
      </w:r>
      <w:r>
        <w:t>For each type of the following products:</w:t>
      </w:r>
    </w:p>
    <w:p w:rsidR="00243655" w:rsidRDefault="00243655" w:rsidP="00243655">
      <w:pPr>
        <w:pStyle w:val="PR1"/>
        <w:numPr>
          <w:ilvl w:val="0"/>
          <w:numId w:val="0"/>
        </w:numPr>
        <w:ind w:left="864"/>
      </w:pPr>
    </w:p>
    <w:p w:rsidR="00243655" w:rsidRDefault="00243655" w:rsidP="00243655">
      <w:pPr>
        <w:pStyle w:val="PR2"/>
      </w:pPr>
      <w:r>
        <w:lastRenderedPageBreak/>
        <w:t>Glazing: Manufacturer's standard-size unit, but not less than [</w:t>
      </w:r>
      <w:r w:rsidR="00A00E7C">
        <w:rPr>
          <w:rStyle w:val="IP"/>
          <w:b/>
        </w:rPr>
        <w:t>8 x 12</w:t>
      </w:r>
      <w:r>
        <w:rPr>
          <w:rStyle w:val="IP"/>
          <w:b/>
        </w:rPr>
        <w:t xml:space="preserve"> inches</w:t>
      </w:r>
      <w:r>
        <w:rPr>
          <w:rStyle w:val="SI"/>
          <w:b/>
        </w:rPr>
        <w:t xml:space="preserve"> </w:t>
      </w:r>
      <w:proofErr w:type="gramStart"/>
      <w:r>
        <w:rPr>
          <w:rStyle w:val="SI"/>
          <w:b/>
        </w:rPr>
        <w:t>(</w:t>
      </w:r>
      <w:r w:rsidR="00FE191F">
        <w:rPr>
          <w:rStyle w:val="SI"/>
          <w:b/>
        </w:rPr>
        <w:t xml:space="preserve"> 200</w:t>
      </w:r>
      <w:proofErr w:type="gramEnd"/>
      <w:r w:rsidR="00FE191F">
        <w:rPr>
          <w:rStyle w:val="SI"/>
          <w:b/>
        </w:rPr>
        <w:t xml:space="preserve"> x 300 mm )</w:t>
      </w:r>
      <w:r>
        <w:t>.</w:t>
      </w:r>
    </w:p>
    <w:p w:rsidR="006B754A" w:rsidRDefault="006B754A" w:rsidP="00FE191F">
      <w:pPr>
        <w:pStyle w:val="PR2"/>
      </w:pPr>
      <w:r>
        <w:t>Linear Trim:</w:t>
      </w:r>
      <w:r w:rsidR="003C186D">
        <w:t xml:space="preserve"> </w:t>
      </w:r>
      <w:r>
        <w:t>[</w:t>
      </w:r>
      <w:r w:rsidRPr="00FE191F">
        <w:rPr>
          <w:rStyle w:val="IP"/>
          <w:b/>
        </w:rPr>
        <w:t>12-inch-</w:t>
      </w:r>
      <w:r w:rsidRPr="00FE191F">
        <w:rPr>
          <w:rStyle w:val="SI"/>
          <w:b/>
        </w:rPr>
        <w:t xml:space="preserve"> (300-mm-)</w:t>
      </w:r>
      <w:r>
        <w:t xml:space="preserve">] </w:t>
      </w:r>
    </w:p>
    <w:p w:rsidR="00FE191F" w:rsidRDefault="006B754A" w:rsidP="00FE191F">
      <w:pPr>
        <w:pStyle w:val="PR2"/>
      </w:pPr>
      <w:r>
        <w:t>Door Finish:</w:t>
      </w:r>
      <w:r w:rsidR="003C186D">
        <w:t xml:space="preserve"> </w:t>
      </w:r>
      <w:r>
        <w:t xml:space="preserve">Manufacturer's standard-size unit, but not less than </w:t>
      </w:r>
      <w:r w:rsidRPr="00FE191F">
        <w:rPr>
          <w:b/>
        </w:rPr>
        <w:t>[</w:t>
      </w:r>
      <w:r w:rsidR="00FE191F" w:rsidRPr="00FE191F">
        <w:rPr>
          <w:rStyle w:val="IP"/>
          <w:b/>
        </w:rPr>
        <w:t>8 x 12 inches</w:t>
      </w:r>
      <w:r w:rsidR="00FE191F" w:rsidRPr="00FE191F">
        <w:rPr>
          <w:rStyle w:val="SI"/>
          <w:b/>
        </w:rPr>
        <w:t xml:space="preserve"> </w:t>
      </w:r>
      <w:proofErr w:type="gramStart"/>
      <w:r w:rsidR="00FE191F" w:rsidRPr="00FE191F">
        <w:rPr>
          <w:rStyle w:val="SI"/>
          <w:b/>
        </w:rPr>
        <w:t>( 200</w:t>
      </w:r>
      <w:proofErr w:type="gramEnd"/>
      <w:r w:rsidR="00FE191F" w:rsidRPr="00FE191F">
        <w:rPr>
          <w:rStyle w:val="SI"/>
          <w:b/>
        </w:rPr>
        <w:t xml:space="preserve"> x 300 mm </w:t>
      </w:r>
      <w:r w:rsidR="00FE191F">
        <w:rPr>
          <w:rStyle w:val="SI"/>
          <w:b/>
        </w:rPr>
        <w:t>)</w:t>
      </w:r>
      <w:r w:rsidR="00FE191F">
        <w:t>.</w:t>
      </w:r>
    </w:p>
    <w:p w:rsidR="006B754A" w:rsidRDefault="006B754A">
      <w:pPr>
        <w:pStyle w:val="PR2"/>
      </w:pPr>
    </w:p>
    <w:p w:rsidR="006B754A" w:rsidRDefault="006B754A">
      <w:pPr>
        <w:pStyle w:val="PR2"/>
      </w:pPr>
      <w:r>
        <w:t>Hardware and Accessories:</w:t>
      </w:r>
      <w:r w:rsidR="003C186D">
        <w:t xml:space="preserve"> </w:t>
      </w:r>
      <w:r w:rsidR="00FE191F">
        <w:t>whole units</w:t>
      </w:r>
    </w:p>
    <w:p w:rsidR="006B754A" w:rsidRDefault="006B754A">
      <w:pPr>
        <w:pStyle w:val="ART"/>
      </w:pPr>
      <w:r>
        <w:t>INFORMATIONAL SUBMITTALS</w:t>
      </w:r>
    </w:p>
    <w:p w:rsidR="006B754A" w:rsidRDefault="006B754A">
      <w:pPr>
        <w:pStyle w:val="PR1"/>
      </w:pPr>
      <w:r>
        <w:t>Product Certificates:</w:t>
      </w:r>
      <w:r w:rsidR="003C186D">
        <w:t xml:space="preserve"> </w:t>
      </w:r>
      <w:r>
        <w:t>For each type of demountable partition.</w:t>
      </w:r>
    </w:p>
    <w:p w:rsidR="0014613E" w:rsidRPr="0014613E" w:rsidRDefault="006B754A" w:rsidP="0014613E">
      <w:pPr>
        <w:pStyle w:val="PR1"/>
      </w:pPr>
      <w:r>
        <w:t>Product Test Reports:</w:t>
      </w:r>
      <w:r w:rsidR="003C186D">
        <w:t xml:space="preserve"> </w:t>
      </w:r>
      <w:r>
        <w:t>For each type of demountable-partition assembly, for tests performed by manufacturer and witnessed by a qualified testing agency.</w:t>
      </w:r>
    </w:p>
    <w:p w:rsidR="006B754A" w:rsidRDefault="006B754A">
      <w:pPr>
        <w:pStyle w:val="ART"/>
      </w:pPr>
      <w:r>
        <w:t>CLOSEOUT SUBMITTALS</w:t>
      </w:r>
    </w:p>
    <w:p w:rsidR="006B754A" w:rsidRDefault="006B754A">
      <w:pPr>
        <w:pStyle w:val="PR1"/>
      </w:pPr>
      <w:r>
        <w:t>Maintenance Data:</w:t>
      </w:r>
      <w:r w:rsidR="003C186D">
        <w:t xml:space="preserve"> </w:t>
      </w:r>
      <w:r>
        <w:t>For demountable partitions to include in maintenance manuals.</w:t>
      </w:r>
    </w:p>
    <w:p w:rsidR="006B754A" w:rsidRDefault="006B754A">
      <w:pPr>
        <w:pStyle w:val="ART"/>
      </w:pPr>
      <w:r>
        <w:t>MAINTENANCE MATERIAL SUBMITTALS</w:t>
      </w:r>
    </w:p>
    <w:p w:rsidR="006B754A" w:rsidRDefault="006B754A">
      <w:pPr>
        <w:pStyle w:val="PR1"/>
      </w:pPr>
      <w:r>
        <w:t>Furnish extra materials</w:t>
      </w:r>
      <w:r w:rsidR="00F4004E">
        <w:t xml:space="preserve"> </w:t>
      </w:r>
      <w:r>
        <w:t>[</w:t>
      </w:r>
      <w:proofErr w:type="gramStart"/>
      <w:r>
        <w:rPr>
          <w:b/>
        </w:rPr>
        <w:t>,from</w:t>
      </w:r>
      <w:proofErr w:type="gramEnd"/>
      <w:r>
        <w:rPr>
          <w:b/>
        </w:rPr>
        <w:t xml:space="preserve"> same production run,</w:t>
      </w:r>
      <w:r>
        <w:t>] that match products installed and that are packaged with protective covering for storage and identified with labels describing contents.</w:t>
      </w:r>
    </w:p>
    <w:p w:rsidR="006B754A" w:rsidRDefault="006B754A">
      <w:pPr>
        <w:pStyle w:val="PR2"/>
        <w:spacing w:before="240"/>
      </w:pPr>
      <w:r>
        <w:t>Partition Components:</w:t>
      </w:r>
      <w:r w:rsidR="003C186D">
        <w:t xml:space="preserve"> </w:t>
      </w:r>
      <w:r>
        <w:t>Furnish a quantity of each type of full-size unit with installation tools and materials equal to [</w:t>
      </w:r>
      <w:r>
        <w:rPr>
          <w:b/>
        </w:rPr>
        <w:t>one</w:t>
      </w:r>
      <w:r>
        <w:t>] [</w:t>
      </w:r>
      <w:r>
        <w:rPr>
          <w:b/>
        </w:rPr>
        <w:t>two</w:t>
      </w:r>
      <w:r>
        <w:t>] &lt;</w:t>
      </w:r>
      <w:r>
        <w:rPr>
          <w:b/>
        </w:rPr>
        <w:t>Insert number</w:t>
      </w:r>
      <w:r>
        <w:t>&gt; percent of the amount installed, but no fewer than &lt;</w:t>
      </w:r>
      <w:r>
        <w:rPr>
          <w:b/>
        </w:rPr>
        <w:t>Insert number</w:t>
      </w:r>
      <w:r>
        <w:t>&gt; units.</w:t>
      </w:r>
    </w:p>
    <w:p w:rsidR="006B754A" w:rsidRDefault="006B754A">
      <w:pPr>
        <w:pStyle w:val="ART"/>
      </w:pPr>
      <w:r>
        <w:t>QUALITY ASSURANCE</w:t>
      </w:r>
    </w:p>
    <w:p w:rsidR="006B754A" w:rsidRDefault="006B754A">
      <w:pPr>
        <w:pStyle w:val="PR1"/>
      </w:pPr>
      <w:r>
        <w:t>Mockups:</w:t>
      </w:r>
      <w:r w:rsidR="003C186D">
        <w:t xml:space="preserve"> </w:t>
      </w:r>
      <w:r>
        <w:t>Build mockups to verify selections made under Sample submittals, to demonstrate aesthetic effects, and to set quality standards for fabrication and installation.</w:t>
      </w:r>
    </w:p>
    <w:p w:rsidR="006B754A" w:rsidRDefault="006B754A">
      <w:pPr>
        <w:pStyle w:val="PR2"/>
        <w:spacing w:before="240"/>
      </w:pPr>
      <w:r>
        <w:t>Build mockups for demountable partitions including accessories.</w:t>
      </w:r>
    </w:p>
    <w:p w:rsidR="006B754A" w:rsidRDefault="006B754A">
      <w:pPr>
        <w:pStyle w:val="PR3"/>
        <w:spacing w:before="240"/>
      </w:pPr>
      <w:r>
        <w:t>Size:</w:t>
      </w:r>
      <w:r w:rsidR="003C186D">
        <w:t xml:space="preserve"> </w:t>
      </w:r>
      <w:r w:rsidR="00745121">
        <w:t>as required by the architect</w:t>
      </w:r>
    </w:p>
    <w:p w:rsidR="006B754A" w:rsidRDefault="006B754A">
      <w:pPr>
        <w:pStyle w:val="PR2"/>
        <w:spacing w:before="240"/>
      </w:pPr>
      <w:r>
        <w:t>Approval of mockups does not constitute approval of deviations from the Contract Documents contained in mockups unless Architect specifically approves such deviations in writing.</w:t>
      </w:r>
    </w:p>
    <w:p w:rsidR="006B754A" w:rsidRDefault="006B754A">
      <w:pPr>
        <w:pStyle w:val="PR2"/>
      </w:pPr>
      <w:r>
        <w:t>Subject to compliance with requirements, approved mockups may become part of the completed Work if undisturbed at time of Substantial Completion.</w:t>
      </w:r>
    </w:p>
    <w:p w:rsidR="006B754A" w:rsidRDefault="006B754A" w:rsidP="002F6125">
      <w:pPr>
        <w:pStyle w:val="ART"/>
      </w:pPr>
      <w:r>
        <w:t>FIELD CONDITIONS</w:t>
      </w:r>
    </w:p>
    <w:p w:rsidR="006B754A" w:rsidRDefault="006B754A">
      <w:pPr>
        <w:pStyle w:val="PR1"/>
      </w:pPr>
      <w:r>
        <w:t>Finished Spaces:</w:t>
      </w:r>
      <w:r w:rsidR="003C186D">
        <w:t xml:space="preserve"> </w:t>
      </w:r>
      <w:r>
        <w:t>Do not deliver or install demountable partitions until finishes in spaces to receive them are complete, including suspended ceilings, floors, carpeting, and painting.</w:t>
      </w:r>
    </w:p>
    <w:p w:rsidR="006B754A" w:rsidRDefault="006B754A">
      <w:pPr>
        <w:pStyle w:val="PR1"/>
      </w:pPr>
      <w:r>
        <w:lastRenderedPageBreak/>
        <w:t>Field Measurements:</w:t>
      </w:r>
      <w:r w:rsidR="003C186D">
        <w:t xml:space="preserve"> </w:t>
      </w:r>
      <w:r>
        <w:t>Indicate measurements on Shop Drawings.</w:t>
      </w:r>
    </w:p>
    <w:p w:rsidR="006B754A" w:rsidRDefault="006B754A">
      <w:pPr>
        <w:pStyle w:val="PRT"/>
      </w:pPr>
      <w:r>
        <w:t>PRODUCTS</w:t>
      </w:r>
    </w:p>
    <w:p w:rsidR="006B754A" w:rsidRDefault="006B754A">
      <w:pPr>
        <w:pStyle w:val="ART"/>
      </w:pPr>
      <w:r>
        <w:t>PERFORMANCE REQUIREMENTS</w:t>
      </w:r>
    </w:p>
    <w:p w:rsidR="006B754A" w:rsidRDefault="006B754A">
      <w:pPr>
        <w:pStyle w:val="PR1"/>
      </w:pPr>
      <w:r>
        <w:t>Structural Performance:</w:t>
      </w:r>
      <w:r w:rsidR="003C186D">
        <w:t xml:space="preserve"> </w:t>
      </w:r>
      <w:r>
        <w:t>Provide demountable partitions capable of withstanding the effects of gravity loads and the following loads and stresses within limits and under conditions indicated:</w:t>
      </w:r>
    </w:p>
    <w:p w:rsidR="006B754A" w:rsidRDefault="006B754A">
      <w:pPr>
        <w:pStyle w:val="PR2"/>
        <w:spacing w:before="240"/>
      </w:pPr>
      <w:r>
        <w:t>Load-Bearing Capacity:</w:t>
      </w:r>
      <w:r w:rsidR="003C186D">
        <w:t xml:space="preserve"> </w:t>
      </w:r>
      <w:r w:rsidR="008F1B13">
        <w:t>N/A</w:t>
      </w:r>
    </w:p>
    <w:p w:rsidR="00444497" w:rsidRPr="00892B12" w:rsidRDefault="006B754A" w:rsidP="00892B12">
      <w:pPr>
        <w:pStyle w:val="PR2"/>
      </w:pPr>
      <w:r>
        <w:t>Transverse-Load Capacity:</w:t>
      </w:r>
      <w:r w:rsidR="003C186D">
        <w:t xml:space="preserve"> </w:t>
      </w:r>
      <w:r>
        <w:t xml:space="preserve">Lateral deflection of not more than </w:t>
      </w:r>
      <w:r w:rsidRPr="00415209">
        <w:rPr>
          <w:b/>
          <w:color w:val="FF0000"/>
        </w:rPr>
        <w:t>1/120</w:t>
      </w:r>
      <w:r w:rsidR="00415209">
        <w:rPr>
          <w:b/>
        </w:rPr>
        <w:t xml:space="preserve"> </w:t>
      </w:r>
      <w:r>
        <w:t xml:space="preserve">of the overall span when tested under a uniformly distributed load of </w:t>
      </w:r>
      <w:r>
        <w:rPr>
          <w:rStyle w:val="IP"/>
        </w:rPr>
        <w:t>5 lb/sq. ft.</w:t>
      </w:r>
      <w:r>
        <w:rPr>
          <w:rStyle w:val="SI"/>
        </w:rPr>
        <w:t xml:space="preserve"> (24.4 kg/sq. m)</w:t>
      </w:r>
      <w:r w:rsidR="00892B12">
        <w:t xml:space="preserve"> </w:t>
      </w:r>
      <w:r w:rsidR="00892B12" w:rsidRPr="00892B12">
        <w:t xml:space="preserve">according </w:t>
      </w:r>
      <w:r w:rsidR="00444497" w:rsidRPr="00892B12">
        <w:t xml:space="preserve"> to DIN 4103 Part 1</w:t>
      </w:r>
    </w:p>
    <w:p w:rsidR="00444497" w:rsidRPr="00892B12" w:rsidRDefault="00892B12" w:rsidP="008C2FDF">
      <w:pPr>
        <w:pStyle w:val="PR2"/>
        <w:numPr>
          <w:ilvl w:val="0"/>
          <w:numId w:val="0"/>
        </w:numPr>
        <w:ind w:left="1440"/>
        <w:jc w:val="left"/>
        <w:rPr>
          <w:b/>
        </w:rPr>
      </w:pPr>
      <w:r w:rsidRPr="00892B12">
        <w:rPr>
          <w:b/>
        </w:rPr>
        <w:t xml:space="preserve"> </w:t>
      </w:r>
    </w:p>
    <w:p w:rsidR="006B754A" w:rsidRPr="004C7F6A" w:rsidRDefault="006B754A" w:rsidP="004C7F6A">
      <w:pPr>
        <w:pStyle w:val="PR1"/>
      </w:pPr>
      <w:r>
        <w:t>Acoustical Performance:</w:t>
      </w:r>
      <w:r w:rsidR="003C186D">
        <w:t xml:space="preserve"> </w:t>
      </w:r>
      <w:r>
        <w:t xml:space="preserve">Where acoustical rating is indicated, provide demountable-partition assembly tested by a qualified testing agency for sound transmission loss performance </w:t>
      </w:r>
      <w:r w:rsidRPr="001B231B">
        <w:t>according to</w:t>
      </w:r>
      <w:r w:rsidR="001B231B" w:rsidRPr="001B231B">
        <w:t xml:space="preserve"> ISO 10140-2</w:t>
      </w:r>
      <w:r>
        <w:t xml:space="preserve"> and rated for not less than the </w:t>
      </w:r>
      <w:r w:rsidR="00DF4084" w:rsidRPr="00B47AA3">
        <w:rPr>
          <w:szCs w:val="22"/>
        </w:rPr>
        <w:t>ISO 10140</w:t>
      </w:r>
      <w:r w:rsidR="001B231B">
        <w:rPr>
          <w:szCs w:val="22"/>
        </w:rPr>
        <w:t>-2</w:t>
      </w:r>
      <w:r>
        <w:t xml:space="preserve"> value indicated.</w:t>
      </w:r>
      <w:r w:rsidR="004C7F6A" w:rsidRPr="004C7F6A">
        <w:rPr>
          <w:rFonts w:ascii="Arial" w:hAnsi="Arial" w:cs="Arial"/>
          <w:sz w:val="20"/>
        </w:rPr>
        <w:t xml:space="preserve"> </w:t>
      </w:r>
      <w:r w:rsidR="001B231B" w:rsidRPr="001B231B">
        <w:rPr>
          <w:rFonts w:ascii="Arial" w:hAnsi="Arial" w:cs="Arial"/>
          <w:b/>
          <w:sz w:val="20"/>
        </w:rPr>
        <w:t>[</w:t>
      </w:r>
      <w:r w:rsidR="004C7F6A" w:rsidRPr="001B231B">
        <w:rPr>
          <w:rFonts w:ascii="Arial" w:hAnsi="Arial" w:cs="Arial"/>
          <w:b/>
          <w:sz w:val="20"/>
        </w:rPr>
        <w:t xml:space="preserve">ISO 10140-2, </w:t>
      </w:r>
      <w:r w:rsidR="002F6125">
        <w:rPr>
          <w:rFonts w:ascii="Arial" w:hAnsi="Arial" w:cs="Arial"/>
          <w:b/>
          <w:sz w:val="20"/>
        </w:rPr>
        <w:t xml:space="preserve">55 </w:t>
      </w:r>
      <w:r w:rsidR="004C7F6A" w:rsidRPr="001B231B">
        <w:rPr>
          <w:rFonts w:ascii="Arial" w:hAnsi="Arial" w:cs="Arial"/>
          <w:b/>
          <w:sz w:val="20"/>
        </w:rPr>
        <w:t xml:space="preserve">dB </w:t>
      </w:r>
      <w:proofErr w:type="gramStart"/>
      <w:r w:rsidR="004C7F6A" w:rsidRPr="001B231B">
        <w:rPr>
          <w:rFonts w:ascii="Arial" w:hAnsi="Arial" w:cs="Arial"/>
          <w:b/>
          <w:sz w:val="20"/>
        </w:rPr>
        <w:t xml:space="preserve">RW </w:t>
      </w:r>
      <w:r w:rsidR="001B231B" w:rsidRPr="001B231B">
        <w:rPr>
          <w:rFonts w:ascii="Arial" w:hAnsi="Arial" w:cs="Arial"/>
          <w:b/>
          <w:sz w:val="20"/>
        </w:rPr>
        <w:t>]</w:t>
      </w:r>
      <w:proofErr w:type="gramEnd"/>
      <w:r w:rsidR="004C7F6A" w:rsidRPr="001B231B">
        <w:rPr>
          <w:rFonts w:ascii="Arial" w:hAnsi="Arial" w:cs="Arial"/>
          <w:b/>
          <w:sz w:val="20"/>
        </w:rPr>
        <w:t>.</w:t>
      </w:r>
    </w:p>
    <w:p w:rsidR="006B754A" w:rsidRDefault="006B754A">
      <w:pPr>
        <w:pStyle w:val="ART"/>
      </w:pPr>
      <w:r>
        <w:t xml:space="preserve">SITE-ASSEMBLED DEMOUNTABLE </w:t>
      </w:r>
      <w:r w:rsidR="00EA74B0">
        <w:t xml:space="preserve">DOUBLE GLAZED </w:t>
      </w:r>
      <w:r>
        <w:t>PARTITIONS &lt;</w:t>
      </w:r>
      <w:r>
        <w:rPr>
          <w:b/>
        </w:rPr>
        <w:t>Insert drawing designation</w:t>
      </w:r>
      <w:r>
        <w:t>&gt;</w:t>
      </w:r>
    </w:p>
    <w:p w:rsidR="004C7F6A" w:rsidRDefault="006B754A" w:rsidP="004C7F6A">
      <w:pPr>
        <w:pStyle w:val="PR1"/>
      </w:pPr>
      <w:r>
        <w:t>General:</w:t>
      </w:r>
      <w:r w:rsidR="003C186D">
        <w:t xml:space="preserve"> </w:t>
      </w:r>
      <w:r w:rsidR="00ED4334">
        <w:t>Site-assembled,</w:t>
      </w:r>
      <w:r w:rsidR="00145096">
        <w:t xml:space="preserve"> </w:t>
      </w:r>
      <w:r w:rsidRPr="00145096">
        <w:t>progressive,</w:t>
      </w:r>
      <w:r w:rsidR="00145096">
        <w:t xml:space="preserve"> </w:t>
      </w:r>
      <w:r>
        <w:t>demountable-partition assembly and components that are the standard products of manufacturer.</w:t>
      </w:r>
    </w:p>
    <w:p w:rsidR="006B754A" w:rsidRDefault="006B754A">
      <w:pPr>
        <w:pStyle w:val="PR2"/>
        <w:spacing w:before="240"/>
      </w:pPr>
      <w:r>
        <w:t>Manufacturers:</w:t>
      </w:r>
      <w:r w:rsidR="003C186D">
        <w:t xml:space="preserve"> </w:t>
      </w:r>
      <w:r>
        <w:t>Subject to compliance with requirements, [</w:t>
      </w:r>
      <w:r>
        <w:rPr>
          <w:b/>
        </w:rPr>
        <w:t>provide products by the following</w:t>
      </w:r>
      <w:r>
        <w:t>] [</w:t>
      </w:r>
      <w:r>
        <w:rPr>
          <w:b/>
        </w:rPr>
        <w:t>provide products by one of the following</w:t>
      </w:r>
      <w:r>
        <w:t>:</w:t>
      </w:r>
      <w:r w:rsidR="00F75BB1">
        <w:t xml:space="preserve"> LINDNER AG </w:t>
      </w:r>
    </w:p>
    <w:p w:rsidR="004C7F6A" w:rsidRDefault="00C23E51" w:rsidP="004C7F6A">
      <w:pPr>
        <w:pStyle w:val="PR2"/>
      </w:pPr>
      <w:r>
        <w:t xml:space="preserve">Basis of Design: </w:t>
      </w:r>
      <w:r w:rsidR="006B754A">
        <w:t xml:space="preserve">Subject to compliance with requirements, provide </w:t>
      </w:r>
      <w:r w:rsidR="00F75BB1" w:rsidRPr="00F75BB1">
        <w:rPr>
          <w:b/>
        </w:rPr>
        <w:t xml:space="preserve">Lindner Life </w:t>
      </w:r>
      <w:r w:rsidR="00A442DF">
        <w:rPr>
          <w:b/>
        </w:rPr>
        <w:t>137</w:t>
      </w:r>
      <w:r w:rsidR="00EA74B0">
        <w:rPr>
          <w:b/>
        </w:rPr>
        <w:t xml:space="preserve"> Double Glazed Partition</w:t>
      </w:r>
      <w:r w:rsidR="00F75BB1">
        <w:t xml:space="preserve"> </w:t>
      </w:r>
      <w:r w:rsidR="006B754A">
        <w:t>or comparable product by one of the following:</w:t>
      </w:r>
    </w:p>
    <w:p w:rsidR="004C7F6A" w:rsidRDefault="004C7F6A" w:rsidP="004C7F6A">
      <w:pPr>
        <w:pStyle w:val="PR2"/>
        <w:numPr>
          <w:ilvl w:val="0"/>
          <w:numId w:val="0"/>
        </w:numPr>
        <w:ind w:left="1440"/>
      </w:pPr>
    </w:p>
    <w:p w:rsidR="006B754A" w:rsidRPr="00A00E7C" w:rsidRDefault="00F75BB1" w:rsidP="00F75BB1">
      <w:pPr>
        <w:pStyle w:val="PR3"/>
        <w:spacing w:before="240"/>
        <w:rPr>
          <w:lang w:val="de-DE"/>
        </w:rPr>
      </w:pPr>
      <w:r w:rsidRPr="00A00E7C">
        <w:rPr>
          <w:lang w:val="de-DE"/>
        </w:rPr>
        <w:t>LINDNER AG, www.lindner-group.com</w:t>
      </w:r>
      <w:r w:rsidR="006B754A" w:rsidRPr="00A00E7C">
        <w:rPr>
          <w:lang w:val="de-DE"/>
        </w:rPr>
        <w:t>.</w:t>
      </w:r>
    </w:p>
    <w:p w:rsidR="00ED4334" w:rsidRDefault="006B754A" w:rsidP="0020674B">
      <w:pPr>
        <w:pStyle w:val="PR3"/>
        <w:numPr>
          <w:ilvl w:val="0"/>
          <w:numId w:val="0"/>
        </w:numPr>
        <w:ind w:left="2016"/>
      </w:pPr>
      <w:r>
        <w:t>&lt;</w:t>
      </w:r>
      <w:r w:rsidRPr="007E3D54">
        <w:rPr>
          <w:b/>
        </w:rPr>
        <w:t>Insert manufacturer's name</w:t>
      </w:r>
      <w:r>
        <w:t>&gt;.</w:t>
      </w:r>
      <w:r w:rsidR="007E3D54">
        <w:t xml:space="preserve"> </w:t>
      </w:r>
    </w:p>
    <w:p w:rsidR="004E5157" w:rsidRPr="0020674B" w:rsidRDefault="004E5157">
      <w:pPr>
        <w:pStyle w:val="PR1"/>
        <w:rPr>
          <w:b/>
        </w:rPr>
      </w:pPr>
      <w:r>
        <w:t xml:space="preserve">System to be able to adapt to and to absorb soffit or ceiling deflections (post installation) up to +/- </w:t>
      </w:r>
      <w:r>
        <w:rPr>
          <w:rStyle w:val="IP"/>
          <w:b/>
        </w:rPr>
        <w:t>0.49 inch</w:t>
      </w:r>
      <w:r>
        <w:rPr>
          <w:rStyle w:val="SI"/>
          <w:b/>
        </w:rPr>
        <w:t xml:space="preserve"> (12.5 mm)</w:t>
      </w:r>
      <w:r w:rsidR="005D04EB">
        <w:t xml:space="preserve"> </w:t>
      </w:r>
      <w:r>
        <w:t>without damages.</w:t>
      </w:r>
    </w:p>
    <w:p w:rsidR="001019DB" w:rsidRPr="0020674B" w:rsidRDefault="009243C6">
      <w:pPr>
        <w:pStyle w:val="PR1"/>
        <w:rPr>
          <w:b/>
        </w:rPr>
      </w:pPr>
      <w:r>
        <w:t xml:space="preserve">Partition </w:t>
      </w:r>
      <w:r w:rsidR="001019DB">
        <w:t xml:space="preserve">Wall thickness: </w:t>
      </w:r>
      <w:r w:rsidR="001912B5">
        <w:t>[</w:t>
      </w:r>
      <w:r w:rsidR="001912B5">
        <w:rPr>
          <w:rStyle w:val="IP"/>
          <w:b/>
        </w:rPr>
        <w:t>3.93 inch</w:t>
      </w:r>
      <w:r w:rsidR="001912B5">
        <w:rPr>
          <w:rStyle w:val="SI"/>
          <w:b/>
        </w:rPr>
        <w:t xml:space="preserve"> (100 mm) </w:t>
      </w:r>
      <w:r w:rsidR="001912B5" w:rsidRPr="001912B5">
        <w:rPr>
          <w:rStyle w:val="SI"/>
          <w:b/>
          <w:color w:val="auto"/>
        </w:rPr>
        <w:t>for non fire rated</w:t>
      </w:r>
      <w:r w:rsidR="004B6D27">
        <w:rPr>
          <w:rStyle w:val="SI"/>
          <w:b/>
          <w:color w:val="auto"/>
        </w:rPr>
        <w:t xml:space="preserve"> system</w:t>
      </w:r>
      <w:r w:rsidR="001912B5">
        <w:t xml:space="preserve">]or </w:t>
      </w:r>
      <w:r w:rsidR="001019DB">
        <w:t>[</w:t>
      </w:r>
      <w:r w:rsidR="00730DC9" w:rsidRPr="00730DC9">
        <w:rPr>
          <w:b/>
          <w:color w:val="FF0000"/>
        </w:rPr>
        <w:t>4</w:t>
      </w:r>
      <w:r w:rsidR="001019DB">
        <w:rPr>
          <w:rStyle w:val="IP"/>
          <w:b/>
        </w:rPr>
        <w:t>.</w:t>
      </w:r>
      <w:r w:rsidR="00330EED">
        <w:rPr>
          <w:rStyle w:val="IP"/>
          <w:b/>
        </w:rPr>
        <w:t>9</w:t>
      </w:r>
      <w:r w:rsidR="001019DB">
        <w:rPr>
          <w:rStyle w:val="IP"/>
          <w:b/>
        </w:rPr>
        <w:t xml:space="preserve"> inch</w:t>
      </w:r>
      <w:r w:rsidR="00730DC9">
        <w:rPr>
          <w:rStyle w:val="SI"/>
          <w:b/>
        </w:rPr>
        <w:t xml:space="preserve"> (1</w:t>
      </w:r>
      <w:r w:rsidR="00330EED">
        <w:rPr>
          <w:rStyle w:val="SI"/>
          <w:b/>
        </w:rPr>
        <w:t>25</w:t>
      </w:r>
      <w:r w:rsidR="001019DB">
        <w:rPr>
          <w:rStyle w:val="SI"/>
          <w:b/>
        </w:rPr>
        <w:t xml:space="preserve"> mm)</w:t>
      </w:r>
      <w:r w:rsidR="001912B5" w:rsidRPr="001912B5">
        <w:rPr>
          <w:rStyle w:val="SI"/>
          <w:b/>
          <w:color w:val="auto"/>
        </w:rPr>
        <w:t xml:space="preserve"> for  fire rated</w:t>
      </w:r>
      <w:r w:rsidR="004B6D27">
        <w:rPr>
          <w:rStyle w:val="SI"/>
          <w:b/>
          <w:color w:val="auto"/>
        </w:rPr>
        <w:t xml:space="preserve"> system</w:t>
      </w:r>
      <w:r w:rsidR="001019DB">
        <w:t>]</w:t>
      </w:r>
    </w:p>
    <w:p w:rsidR="006B754A" w:rsidRDefault="006B754A">
      <w:pPr>
        <w:pStyle w:val="PR1"/>
      </w:pPr>
      <w:r>
        <w:t>Fire Rating of Partition Assembly:</w:t>
      </w:r>
      <w:r w:rsidR="003C186D">
        <w:t xml:space="preserve"> </w:t>
      </w:r>
      <w:r w:rsidR="001912B5">
        <w:t xml:space="preserve">Non Fire Rated, EI30 or </w:t>
      </w:r>
      <w:r w:rsidR="00A442DF">
        <w:t>EI60 tested according to EN 13501-2</w:t>
      </w:r>
      <w:r>
        <w:t>.</w:t>
      </w:r>
      <w:r w:rsidR="001912B5">
        <w:t xml:space="preserve"> (</w:t>
      </w:r>
      <w:r w:rsidR="001912B5" w:rsidRPr="001912B5">
        <w:rPr>
          <w:b/>
        </w:rPr>
        <w:t>Delete as required</w:t>
      </w:r>
      <w:r w:rsidR="001912B5">
        <w:rPr>
          <w:b/>
        </w:rPr>
        <w:t>)</w:t>
      </w:r>
    </w:p>
    <w:p w:rsidR="006B754A" w:rsidRDefault="006B754A">
      <w:pPr>
        <w:pStyle w:val="PR1"/>
      </w:pPr>
      <w:r>
        <w:t>Acoustical Rating</w:t>
      </w:r>
      <w:r w:rsidRPr="00B47AA3">
        <w:rPr>
          <w:szCs w:val="22"/>
        </w:rPr>
        <w:t>:</w:t>
      </w:r>
      <w:r w:rsidR="003C186D" w:rsidRPr="00B47AA3">
        <w:rPr>
          <w:szCs w:val="22"/>
        </w:rPr>
        <w:t xml:space="preserve"> </w:t>
      </w:r>
      <w:r w:rsidR="00B47AA3" w:rsidRPr="00B47AA3">
        <w:rPr>
          <w:szCs w:val="22"/>
        </w:rPr>
        <w:t xml:space="preserve">ISO 10140-2, </w:t>
      </w:r>
      <w:r w:rsidR="00A442DF">
        <w:rPr>
          <w:szCs w:val="22"/>
        </w:rPr>
        <w:t>55d</w:t>
      </w:r>
      <w:r w:rsidR="00B47AA3" w:rsidRPr="00B47AA3">
        <w:rPr>
          <w:szCs w:val="22"/>
        </w:rPr>
        <w:t>B RW</w:t>
      </w:r>
      <w:r w:rsidRPr="00B47AA3">
        <w:rPr>
          <w:szCs w:val="22"/>
        </w:rPr>
        <w:t>.</w:t>
      </w:r>
    </w:p>
    <w:p w:rsidR="009A442C" w:rsidRPr="00724A1F" w:rsidRDefault="00A442DF" w:rsidP="00724A1F">
      <w:pPr>
        <w:pStyle w:val="PR1"/>
        <w:rPr>
          <w:b/>
        </w:rPr>
      </w:pPr>
      <w:r>
        <w:t>Glass panes to be fixed to aluminium profiles</w:t>
      </w:r>
      <w:r w:rsidR="0054111A">
        <w:t xml:space="preserve"> by means</w:t>
      </w:r>
      <w:r>
        <w:t xml:space="preserve"> of adhesive </w:t>
      </w:r>
      <w:r w:rsidR="000A1ED4">
        <w:t xml:space="preserve">in accordance with ETAG 002 Standard for Structural Bonding and </w:t>
      </w:r>
      <w:r w:rsidR="009A442C">
        <w:t xml:space="preserve">with maximum visible height </w:t>
      </w:r>
      <w:r w:rsidR="00724A1F">
        <w:t>of [</w:t>
      </w:r>
      <w:r w:rsidR="00724A1F">
        <w:rPr>
          <w:b/>
          <w:color w:val="FF0000"/>
        </w:rPr>
        <w:t>0.78</w:t>
      </w:r>
      <w:r w:rsidR="00724A1F">
        <w:rPr>
          <w:rStyle w:val="IP"/>
          <w:b/>
        </w:rPr>
        <w:t xml:space="preserve"> inch</w:t>
      </w:r>
      <w:r w:rsidR="00724A1F">
        <w:rPr>
          <w:rStyle w:val="SI"/>
          <w:b/>
        </w:rPr>
        <w:t xml:space="preserve"> (20 mm)</w:t>
      </w:r>
      <w:r w:rsidR="00724A1F">
        <w:t>] vertically and [</w:t>
      </w:r>
      <w:r w:rsidR="00724A1F">
        <w:rPr>
          <w:b/>
          <w:color w:val="FF0000"/>
        </w:rPr>
        <w:t>1</w:t>
      </w:r>
      <w:r w:rsidR="00724A1F">
        <w:rPr>
          <w:rStyle w:val="IP"/>
          <w:b/>
        </w:rPr>
        <w:t>.18 inch</w:t>
      </w:r>
      <w:r w:rsidR="00724A1F">
        <w:rPr>
          <w:rStyle w:val="SI"/>
          <w:b/>
        </w:rPr>
        <w:t xml:space="preserve"> (30 mm)</w:t>
      </w:r>
      <w:r w:rsidR="00724A1F">
        <w:t>] horizontally.</w:t>
      </w:r>
    </w:p>
    <w:p w:rsidR="009A442C" w:rsidRPr="009A442C" w:rsidRDefault="009A442C" w:rsidP="009A442C">
      <w:pPr>
        <w:pStyle w:val="PR1"/>
        <w:numPr>
          <w:ilvl w:val="0"/>
          <w:numId w:val="0"/>
        </w:numPr>
        <w:ind w:left="288"/>
        <w:rPr>
          <w:b/>
        </w:rPr>
      </w:pPr>
    </w:p>
    <w:p w:rsidR="00810580" w:rsidRDefault="00A442DF" w:rsidP="00810580">
      <w:pPr>
        <w:pStyle w:val="PR1"/>
      </w:pPr>
      <w:r>
        <w:t>Glazing Profiles</w:t>
      </w:r>
      <w:r w:rsidR="00810580">
        <w:t xml:space="preserve">: Manufacturer's standard </w:t>
      </w:r>
      <w:r w:rsidR="00810580" w:rsidRPr="00EA74B0">
        <w:t xml:space="preserve">aluminum </w:t>
      </w:r>
      <w:r>
        <w:t>profiles</w:t>
      </w:r>
      <w:r w:rsidR="00810580">
        <w:t xml:space="preserve"> for glazing thickness indicated.</w:t>
      </w:r>
    </w:p>
    <w:p w:rsidR="00033B08" w:rsidRPr="00586D66" w:rsidRDefault="00A442DF" w:rsidP="00586D66">
      <w:pPr>
        <w:pStyle w:val="PR2"/>
        <w:spacing w:before="240"/>
        <w:rPr>
          <w:b/>
        </w:rPr>
      </w:pPr>
      <w:r>
        <w:t>Profiles</w:t>
      </w:r>
      <w:r w:rsidR="00ED4334">
        <w:t xml:space="preserve">: </w:t>
      </w:r>
      <w:r w:rsidR="009F0D95" w:rsidRPr="00ED4334">
        <w:t xml:space="preserve">Extruded aluminum </w:t>
      </w:r>
      <w:proofErr w:type="spellStart"/>
      <w:r w:rsidR="009F0D95" w:rsidRPr="00ED4334">
        <w:t>Eloxal</w:t>
      </w:r>
      <w:proofErr w:type="spellEnd"/>
      <w:r w:rsidR="009F0D95" w:rsidRPr="00ED4334">
        <w:t xml:space="preserve"> E6/EV1</w:t>
      </w:r>
      <w:r w:rsidR="00586D66">
        <w:t>.</w:t>
      </w:r>
    </w:p>
    <w:p w:rsidR="00810580" w:rsidRPr="00586D66" w:rsidRDefault="00A442DF" w:rsidP="00810580">
      <w:pPr>
        <w:pStyle w:val="PR2"/>
        <w:spacing w:before="240"/>
      </w:pPr>
      <w:r>
        <w:t>Profile</w:t>
      </w:r>
      <w:r w:rsidR="00810580">
        <w:t xml:space="preserve"> Finish</w:t>
      </w:r>
      <w:r w:rsidR="00810580" w:rsidRPr="00586D66">
        <w:t xml:space="preserve">: </w:t>
      </w:r>
      <w:r w:rsidR="00033B08" w:rsidRPr="00586D66">
        <w:rPr>
          <w:b/>
        </w:rPr>
        <w:t xml:space="preserve">RAL </w:t>
      </w:r>
    </w:p>
    <w:p w:rsidR="0000373E" w:rsidRPr="00E970A8" w:rsidRDefault="001A6394" w:rsidP="0000373E">
      <w:pPr>
        <w:pStyle w:val="PR2"/>
        <w:spacing w:before="240"/>
      </w:pPr>
      <w:r>
        <w:t>Profile size</w:t>
      </w:r>
      <w:r w:rsidR="0000373E" w:rsidRPr="00E970A8">
        <w:t>:</w:t>
      </w:r>
      <w:r w:rsidR="009E777A" w:rsidRPr="00E970A8">
        <w:rPr>
          <w:rStyle w:val="SI"/>
          <w:b/>
          <w:color w:val="auto"/>
        </w:rPr>
        <w:t xml:space="preserve"> </w:t>
      </w:r>
      <w:r w:rsidR="00891D4E" w:rsidRPr="00E970A8">
        <w:rPr>
          <w:rStyle w:val="SI"/>
          <w:b/>
          <w:color w:val="auto"/>
        </w:rPr>
        <w:t>35 x 22 x 2</w:t>
      </w:r>
      <w:r w:rsidR="00260536" w:rsidRPr="00E970A8">
        <w:rPr>
          <w:rStyle w:val="SI"/>
          <w:b/>
          <w:color w:val="auto"/>
        </w:rPr>
        <w:t xml:space="preserve"> mm</w:t>
      </w:r>
    </w:p>
    <w:p w:rsidR="00A442DF" w:rsidRDefault="00A442DF" w:rsidP="0000373E">
      <w:pPr>
        <w:pStyle w:val="PR2"/>
        <w:numPr>
          <w:ilvl w:val="0"/>
          <w:numId w:val="0"/>
        </w:numPr>
        <w:ind w:left="1440"/>
      </w:pPr>
    </w:p>
    <w:p w:rsidR="00044905" w:rsidRPr="00586D66" w:rsidRDefault="00810580" w:rsidP="00044905">
      <w:pPr>
        <w:pStyle w:val="PR1"/>
        <w:numPr>
          <w:ilvl w:val="0"/>
          <w:numId w:val="0"/>
        </w:numPr>
        <w:ind w:left="864"/>
        <w:rPr>
          <w:b/>
          <w:szCs w:val="22"/>
        </w:rPr>
      </w:pPr>
      <w:r>
        <w:t>Glazing:</w:t>
      </w:r>
      <w:r w:rsidRPr="00586D66">
        <w:t xml:space="preserve"> </w:t>
      </w:r>
      <w:r w:rsidR="00586D66" w:rsidRPr="00586D66">
        <w:t>[</w:t>
      </w:r>
      <w:r w:rsidR="00FC0B50" w:rsidRPr="00586D66">
        <w:rPr>
          <w:b/>
        </w:rPr>
        <w:t>Toughened safety glass</w:t>
      </w:r>
      <w:r w:rsidR="00586D66" w:rsidRPr="00586D66">
        <w:rPr>
          <w:b/>
        </w:rPr>
        <w:t>]</w:t>
      </w:r>
      <w:r w:rsidR="00FC0B50" w:rsidRPr="00586D66">
        <w:rPr>
          <w:b/>
        </w:rPr>
        <w:t xml:space="preserve">, </w:t>
      </w:r>
      <w:r w:rsidR="00586D66" w:rsidRPr="00586D66">
        <w:rPr>
          <w:b/>
        </w:rPr>
        <w:t>[L</w:t>
      </w:r>
      <w:r w:rsidR="00FC0B50" w:rsidRPr="00586D66">
        <w:rPr>
          <w:b/>
        </w:rPr>
        <w:t>aminated safety glass</w:t>
      </w:r>
      <w:r w:rsidR="00586D66" w:rsidRPr="00586D66">
        <w:rPr>
          <w:b/>
        </w:rPr>
        <w:t>]</w:t>
      </w:r>
      <w:r w:rsidR="00FC0B50" w:rsidRPr="00586D66">
        <w:rPr>
          <w:b/>
        </w:rPr>
        <w:t xml:space="preserve">, </w:t>
      </w:r>
      <w:r w:rsidR="00586D66" w:rsidRPr="00586D66">
        <w:rPr>
          <w:b/>
        </w:rPr>
        <w:t>[L</w:t>
      </w:r>
      <w:r w:rsidR="00FC0B50" w:rsidRPr="00586D66">
        <w:rPr>
          <w:b/>
        </w:rPr>
        <w:t>aminated safety glass with sound control foil</w:t>
      </w:r>
      <w:r w:rsidR="00586D66" w:rsidRPr="00586D66">
        <w:rPr>
          <w:b/>
        </w:rPr>
        <w:t>]</w:t>
      </w:r>
      <w:r w:rsidR="00FC0B50" w:rsidRPr="00586D66">
        <w:rPr>
          <w:b/>
        </w:rPr>
        <w:t xml:space="preserve"> </w:t>
      </w:r>
      <w:proofErr w:type="gramStart"/>
      <w:r w:rsidR="00586D66" w:rsidRPr="00586D66">
        <w:rPr>
          <w:b/>
        </w:rPr>
        <w:t>[</w:t>
      </w:r>
      <w:r w:rsidR="00FC0B50" w:rsidRPr="00586D66">
        <w:rPr>
          <w:b/>
        </w:rPr>
        <w:t xml:space="preserve"> </w:t>
      </w:r>
      <w:r w:rsidR="00586D66" w:rsidRPr="00586D66">
        <w:rPr>
          <w:b/>
        </w:rPr>
        <w:t>H</w:t>
      </w:r>
      <w:r w:rsidR="00FC0B50" w:rsidRPr="00586D66">
        <w:rPr>
          <w:b/>
        </w:rPr>
        <w:t>eat</w:t>
      </w:r>
      <w:proofErr w:type="gramEnd"/>
      <w:r w:rsidR="00FC0B50" w:rsidRPr="00586D66">
        <w:rPr>
          <w:b/>
        </w:rPr>
        <w:t xml:space="preserve"> soaked glass</w:t>
      </w:r>
      <w:r w:rsidR="00586D66" w:rsidRPr="00586D66">
        <w:rPr>
          <w:b/>
        </w:rPr>
        <w:t>].</w:t>
      </w:r>
    </w:p>
    <w:p w:rsidR="00810580" w:rsidRDefault="00810580" w:rsidP="00810580">
      <w:pPr>
        <w:pStyle w:val="PR2"/>
        <w:spacing w:before="240"/>
      </w:pPr>
      <w:r>
        <w:t>Thickness: [</w:t>
      </w:r>
      <w:r>
        <w:rPr>
          <w:rStyle w:val="IP"/>
          <w:b/>
        </w:rPr>
        <w:t>0.47 inch</w:t>
      </w:r>
      <w:r>
        <w:rPr>
          <w:rStyle w:val="SI"/>
          <w:b/>
        </w:rPr>
        <w:t xml:space="preserve"> (12 mm)</w:t>
      </w:r>
      <w:r>
        <w:t xml:space="preserve">] </w:t>
      </w:r>
      <w:r>
        <w:rPr>
          <w:b/>
        </w:rPr>
        <w:t>Manufacturer's standard</w:t>
      </w:r>
      <w:r>
        <w:t>.</w:t>
      </w:r>
    </w:p>
    <w:p w:rsidR="00810580" w:rsidRDefault="00810580" w:rsidP="00810580">
      <w:pPr>
        <w:pStyle w:val="PR2"/>
      </w:pPr>
      <w:r>
        <w:t xml:space="preserve">Panel Widths: Modular, [up to </w:t>
      </w:r>
      <w:r>
        <w:rPr>
          <w:rStyle w:val="IP"/>
          <w:b/>
        </w:rPr>
        <w:t>49.21 inches</w:t>
      </w:r>
      <w:r>
        <w:rPr>
          <w:rStyle w:val="SI"/>
          <w:b/>
        </w:rPr>
        <w:t xml:space="preserve"> (1250 mm)</w:t>
      </w:r>
      <w:r>
        <w:t>] [</w:t>
      </w:r>
      <w:r>
        <w:rPr>
          <w:b/>
        </w:rPr>
        <w:t>as indicated on Drawings</w:t>
      </w:r>
      <w:r>
        <w:t>] [</w:t>
      </w:r>
      <w:r>
        <w:rPr>
          <w:b/>
        </w:rPr>
        <w:t>as selected by Architect from manufacturer's standard widths</w:t>
      </w:r>
      <w:r>
        <w:t>] &lt;</w:t>
      </w:r>
      <w:r>
        <w:rPr>
          <w:b/>
        </w:rPr>
        <w:t>Insert requirement</w:t>
      </w:r>
      <w:r>
        <w:t>&gt;.</w:t>
      </w:r>
    </w:p>
    <w:p w:rsidR="00810580" w:rsidRPr="00586D66" w:rsidRDefault="00810580" w:rsidP="00865BC7">
      <w:pPr>
        <w:pStyle w:val="PR2"/>
        <w:numPr>
          <w:ilvl w:val="0"/>
          <w:numId w:val="0"/>
        </w:numPr>
        <w:ind w:left="1427"/>
        <w:rPr>
          <w:b/>
        </w:rPr>
      </w:pPr>
      <w:r>
        <w:t>Finish</w:t>
      </w:r>
      <w:r w:rsidR="00E71321">
        <w:t>/</w:t>
      </w:r>
      <w:proofErr w:type="spellStart"/>
      <w:r w:rsidR="00E71321">
        <w:t>Colour</w:t>
      </w:r>
      <w:proofErr w:type="spellEnd"/>
      <w:r w:rsidRPr="00DF4084">
        <w:t xml:space="preserve">: </w:t>
      </w:r>
      <w:r w:rsidR="00586D66">
        <w:t>[</w:t>
      </w:r>
      <w:r w:rsidR="00E71321" w:rsidRPr="00586D66">
        <w:rPr>
          <w:b/>
        </w:rPr>
        <w:t xml:space="preserve">Clear or </w:t>
      </w:r>
      <w:proofErr w:type="spellStart"/>
      <w:r w:rsidR="00E71321" w:rsidRPr="00586D66">
        <w:rPr>
          <w:b/>
        </w:rPr>
        <w:t>coloured</w:t>
      </w:r>
      <w:proofErr w:type="spellEnd"/>
      <w:r w:rsidR="00E71321" w:rsidRPr="00586D66">
        <w:rPr>
          <w:b/>
        </w:rPr>
        <w:t xml:space="preserve"> transparent Glass</w:t>
      </w:r>
      <w:r w:rsidR="00586D66">
        <w:rPr>
          <w:b/>
        </w:rPr>
        <w:t>]</w:t>
      </w:r>
      <w:r w:rsidR="00E71321" w:rsidRPr="00586D66">
        <w:rPr>
          <w:b/>
        </w:rPr>
        <w:t xml:space="preserve"> </w:t>
      </w:r>
      <w:r w:rsidR="00586D66">
        <w:rPr>
          <w:b/>
        </w:rPr>
        <w:t>[</w:t>
      </w:r>
      <w:r w:rsidR="00E71321" w:rsidRPr="00586D66">
        <w:rPr>
          <w:b/>
        </w:rPr>
        <w:t>or finished with Foils</w:t>
      </w:r>
      <w:r w:rsidR="00586D66">
        <w:rPr>
          <w:b/>
        </w:rPr>
        <w:t>]</w:t>
      </w:r>
      <w:r w:rsidR="00E71321" w:rsidRPr="00586D66">
        <w:rPr>
          <w:b/>
        </w:rPr>
        <w:t xml:space="preserve">, </w:t>
      </w:r>
      <w:r w:rsidR="00586D66">
        <w:rPr>
          <w:b/>
        </w:rPr>
        <w:t>[</w:t>
      </w:r>
      <w:r w:rsidR="00E71321" w:rsidRPr="00586D66">
        <w:rPr>
          <w:b/>
        </w:rPr>
        <w:t>Screen printing</w:t>
      </w:r>
      <w:r w:rsidR="00586D66">
        <w:rPr>
          <w:b/>
        </w:rPr>
        <w:t>]</w:t>
      </w:r>
      <w:r w:rsidR="00E71321" w:rsidRPr="00586D66">
        <w:rPr>
          <w:b/>
        </w:rPr>
        <w:t>,</w:t>
      </w:r>
      <w:r w:rsidR="00586D66">
        <w:rPr>
          <w:b/>
        </w:rPr>
        <w:t xml:space="preserve"> </w:t>
      </w:r>
      <w:proofErr w:type="gramStart"/>
      <w:r w:rsidR="00586D66">
        <w:rPr>
          <w:b/>
        </w:rPr>
        <w:t>[</w:t>
      </w:r>
      <w:r w:rsidR="00E71321" w:rsidRPr="00586D66">
        <w:rPr>
          <w:b/>
        </w:rPr>
        <w:t xml:space="preserve"> Enamel</w:t>
      </w:r>
      <w:proofErr w:type="gramEnd"/>
      <w:r w:rsidR="00E71321" w:rsidRPr="00586D66">
        <w:rPr>
          <w:b/>
        </w:rPr>
        <w:t xml:space="preserve"> / Back Paint</w:t>
      </w:r>
      <w:r w:rsidR="00586D66">
        <w:rPr>
          <w:b/>
        </w:rPr>
        <w:t>]</w:t>
      </w:r>
      <w:r w:rsidR="00E71321" w:rsidRPr="00586D66">
        <w:rPr>
          <w:b/>
        </w:rPr>
        <w:t xml:space="preserve"> or </w:t>
      </w:r>
      <w:r w:rsidR="00586D66">
        <w:rPr>
          <w:b/>
        </w:rPr>
        <w:t>[</w:t>
      </w:r>
      <w:r w:rsidR="00E71321" w:rsidRPr="00586D66">
        <w:rPr>
          <w:b/>
        </w:rPr>
        <w:t>Acid Etching</w:t>
      </w:r>
      <w:r w:rsidR="00586D66">
        <w:rPr>
          <w:b/>
        </w:rPr>
        <w:t>]</w:t>
      </w:r>
      <w:r w:rsidR="00E71321" w:rsidRPr="00586D66">
        <w:rPr>
          <w:b/>
        </w:rPr>
        <w:t xml:space="preserve"> </w:t>
      </w:r>
      <w:r w:rsidR="00586D66">
        <w:rPr>
          <w:b/>
        </w:rPr>
        <w:t>A</w:t>
      </w:r>
      <w:r w:rsidR="00E71321" w:rsidRPr="00586D66">
        <w:rPr>
          <w:b/>
        </w:rPr>
        <w:t xml:space="preserve">ccording to Finishes </w:t>
      </w:r>
      <w:r w:rsidR="00E71321" w:rsidRPr="00586D66">
        <w:rPr>
          <w:rFonts w:ascii="Arial" w:hAnsi="Arial" w:cs="Arial"/>
          <w:b/>
          <w:sz w:val="20"/>
        </w:rPr>
        <w:t>Schedule or Architect’s choice.</w:t>
      </w:r>
    </w:p>
    <w:p w:rsidR="00810580" w:rsidRDefault="00810580" w:rsidP="00E71321">
      <w:pPr>
        <w:pStyle w:val="PR3"/>
        <w:numPr>
          <w:ilvl w:val="0"/>
          <w:numId w:val="0"/>
        </w:numPr>
        <w:spacing w:before="240"/>
        <w:ind w:left="2016"/>
      </w:pPr>
    </w:p>
    <w:p w:rsidR="00CD2ADC" w:rsidRPr="00D939CE" w:rsidRDefault="006B754A">
      <w:pPr>
        <w:pStyle w:val="PR1"/>
      </w:pPr>
      <w:r w:rsidRPr="00D939CE">
        <w:t>Doors:</w:t>
      </w:r>
      <w:r w:rsidR="003C186D" w:rsidRPr="00D939CE">
        <w:t xml:space="preserve"> </w:t>
      </w:r>
      <w:r w:rsidR="00CD2ADC" w:rsidRPr="00D939CE">
        <w:t>As selected by Architect from manufacturer's “PLUS” range</w:t>
      </w:r>
    </w:p>
    <w:p w:rsidR="00D939CE" w:rsidRPr="00D939CE" w:rsidRDefault="00D939CE" w:rsidP="00D939CE">
      <w:pPr>
        <w:pStyle w:val="PR2"/>
        <w:spacing w:before="240"/>
      </w:pPr>
      <w:r w:rsidRPr="00D939CE">
        <w:t xml:space="preserve">Wooden doors leaves </w:t>
      </w:r>
      <w:r w:rsidRPr="00D939CE">
        <w:rPr>
          <w:b/>
        </w:rPr>
        <w:t>[40] [50] [70]</w:t>
      </w:r>
      <w:r w:rsidRPr="00D939CE">
        <w:t xml:space="preserve"> mm.</w:t>
      </w:r>
    </w:p>
    <w:p w:rsidR="00D939CE" w:rsidRPr="00D939CE" w:rsidRDefault="00501590" w:rsidP="00D939CE">
      <w:pPr>
        <w:pStyle w:val="PR2"/>
        <w:spacing w:before="240"/>
      </w:pPr>
      <w:r w:rsidRPr="00D939CE">
        <w:t xml:space="preserve">Fully glazed door leaves </w:t>
      </w:r>
      <w:r w:rsidR="00D939CE" w:rsidRPr="00D939CE">
        <w:rPr>
          <w:b/>
        </w:rPr>
        <w:t>[</w:t>
      </w:r>
      <w:r w:rsidRPr="00D939CE">
        <w:rPr>
          <w:b/>
        </w:rPr>
        <w:t>10</w:t>
      </w:r>
      <w:r w:rsidR="00D939CE" w:rsidRPr="00D939CE">
        <w:rPr>
          <w:b/>
        </w:rPr>
        <w:t>]</w:t>
      </w:r>
      <w:r w:rsidRPr="00D939CE">
        <w:rPr>
          <w:b/>
        </w:rPr>
        <w:t xml:space="preserve"> </w:t>
      </w:r>
      <w:r w:rsidR="00D939CE" w:rsidRPr="00D939CE">
        <w:rPr>
          <w:b/>
        </w:rPr>
        <w:t>[</w:t>
      </w:r>
      <w:r w:rsidRPr="00D939CE">
        <w:rPr>
          <w:b/>
        </w:rPr>
        <w:t>12</w:t>
      </w:r>
      <w:r w:rsidR="00D939CE" w:rsidRPr="00D939CE">
        <w:rPr>
          <w:b/>
        </w:rPr>
        <w:t>]</w:t>
      </w:r>
      <w:r w:rsidRPr="00D939CE">
        <w:t xml:space="preserve"> mm</w:t>
      </w:r>
      <w:r w:rsidR="00D939CE" w:rsidRPr="00D939CE">
        <w:t>.</w:t>
      </w:r>
    </w:p>
    <w:p w:rsidR="00D939CE" w:rsidRPr="00D939CE" w:rsidRDefault="00501590" w:rsidP="00D939CE">
      <w:pPr>
        <w:pStyle w:val="PR2"/>
        <w:spacing w:before="240"/>
      </w:pPr>
      <w:r w:rsidRPr="00D939CE">
        <w:t>Gla</w:t>
      </w:r>
      <w:r w:rsidR="00D939CE" w:rsidRPr="00D939CE">
        <w:t xml:space="preserve">zed door leaves </w:t>
      </w:r>
      <w:r w:rsidR="00D939CE" w:rsidRPr="00D939CE">
        <w:rPr>
          <w:b/>
        </w:rPr>
        <w:t>[56] [68] [100]</w:t>
      </w:r>
      <w:r w:rsidR="00D939CE" w:rsidRPr="00D939CE">
        <w:t xml:space="preserve"> mm.</w:t>
      </w:r>
    </w:p>
    <w:p w:rsidR="00501590" w:rsidRPr="00D939CE" w:rsidRDefault="00501590" w:rsidP="00D939CE">
      <w:pPr>
        <w:pStyle w:val="PR2"/>
        <w:spacing w:before="240"/>
      </w:pPr>
      <w:r w:rsidRPr="00D939CE">
        <w:t xml:space="preserve">Tubular door leaves </w:t>
      </w:r>
      <w:r w:rsidR="00D939CE" w:rsidRPr="00D939CE">
        <w:rPr>
          <w:b/>
        </w:rPr>
        <w:t>[</w:t>
      </w:r>
      <w:r w:rsidRPr="00D939CE">
        <w:rPr>
          <w:b/>
        </w:rPr>
        <w:t>40</w:t>
      </w:r>
      <w:r w:rsidR="00D939CE" w:rsidRPr="00D939CE">
        <w:rPr>
          <w:b/>
        </w:rPr>
        <w:t>]</w:t>
      </w:r>
      <w:r w:rsidRPr="00D939CE">
        <w:rPr>
          <w:b/>
        </w:rPr>
        <w:t xml:space="preserve"> </w:t>
      </w:r>
      <w:r w:rsidR="00D939CE" w:rsidRPr="00D939CE">
        <w:rPr>
          <w:b/>
        </w:rPr>
        <w:t>[</w:t>
      </w:r>
      <w:r w:rsidRPr="00D939CE">
        <w:rPr>
          <w:b/>
        </w:rPr>
        <w:t>56</w:t>
      </w:r>
      <w:r w:rsidR="00D939CE" w:rsidRPr="00D939CE">
        <w:rPr>
          <w:b/>
        </w:rPr>
        <w:t>]</w:t>
      </w:r>
      <w:r w:rsidRPr="00D939CE">
        <w:t xml:space="preserve"> mm</w:t>
      </w:r>
    </w:p>
    <w:p w:rsidR="00323676" w:rsidRDefault="00323676" w:rsidP="00562CB1">
      <w:pPr>
        <w:pStyle w:val="PR1"/>
        <w:numPr>
          <w:ilvl w:val="0"/>
          <w:numId w:val="0"/>
        </w:numPr>
        <w:ind w:left="864"/>
      </w:pPr>
    </w:p>
    <w:p w:rsidR="006B754A" w:rsidRDefault="006B754A">
      <w:pPr>
        <w:pStyle w:val="PR2"/>
      </w:pPr>
      <w:r>
        <w:t>Door Finish: [</w:t>
      </w:r>
      <w:r>
        <w:rPr>
          <w:b/>
        </w:rPr>
        <w:t>Factory primed for field painting</w:t>
      </w:r>
      <w:r>
        <w:t>] [</w:t>
      </w:r>
      <w:r>
        <w:rPr>
          <w:b/>
        </w:rPr>
        <w:t>Factory-applied baked-enamel or powder-coat finish</w:t>
      </w:r>
      <w:r>
        <w:t>] [</w:t>
      </w:r>
      <w:r>
        <w:rPr>
          <w:b/>
        </w:rPr>
        <w:t>Plastic laminate</w:t>
      </w:r>
      <w:r>
        <w:t>] [</w:t>
      </w:r>
      <w:r>
        <w:rPr>
          <w:b/>
        </w:rPr>
        <w:t>Wood veneer</w:t>
      </w:r>
      <w:r>
        <w:t>] &lt;</w:t>
      </w:r>
      <w:r>
        <w:rPr>
          <w:b/>
        </w:rPr>
        <w:t>Insert requirement</w:t>
      </w:r>
      <w:r>
        <w:t>&gt;.</w:t>
      </w:r>
    </w:p>
    <w:p w:rsidR="006B754A" w:rsidRPr="00D939CE" w:rsidRDefault="006B754A">
      <w:pPr>
        <w:pStyle w:val="PR3"/>
        <w:spacing w:before="240"/>
      </w:pPr>
      <w:r w:rsidRPr="00D939CE">
        <w:t>Color, Texture, and Pattern:</w:t>
      </w:r>
      <w:r w:rsidR="003C186D" w:rsidRPr="00D939CE">
        <w:t xml:space="preserve"> </w:t>
      </w:r>
      <w:r w:rsidRPr="00D939CE">
        <w:t>As selected by Architect from manufacturer's full range</w:t>
      </w:r>
    </w:p>
    <w:p w:rsidR="006B754A" w:rsidRPr="00D939CE" w:rsidRDefault="006B754A">
      <w:pPr>
        <w:pStyle w:val="PR3"/>
      </w:pPr>
      <w:r w:rsidRPr="00D939CE">
        <w:t>Wood-Veneer Species and Finish:</w:t>
      </w:r>
      <w:r w:rsidR="00501590" w:rsidRPr="00D939CE">
        <w:t xml:space="preserve"> </w:t>
      </w:r>
      <w:r w:rsidRPr="00D939CE">
        <w:t xml:space="preserve">As selected by Architect from manufacturer's full range </w:t>
      </w:r>
    </w:p>
    <w:p w:rsidR="00562CB1" w:rsidRPr="00D939CE" w:rsidRDefault="006B754A" w:rsidP="00562CB1">
      <w:pPr>
        <w:pStyle w:val="PR1"/>
      </w:pPr>
      <w:r w:rsidRPr="00D939CE">
        <w:t>Door Frames:</w:t>
      </w:r>
      <w:r w:rsidR="003C186D" w:rsidRPr="00D939CE">
        <w:t xml:space="preserve"> </w:t>
      </w:r>
      <w:r w:rsidR="00501590" w:rsidRPr="00D939CE">
        <w:t xml:space="preserve">Manufacturer's standard </w:t>
      </w:r>
      <w:r w:rsidRPr="00D939CE">
        <w:t xml:space="preserve">aluminum frames </w:t>
      </w:r>
    </w:p>
    <w:p w:rsidR="006B754A" w:rsidRPr="00D939CE" w:rsidRDefault="006B754A">
      <w:pPr>
        <w:pStyle w:val="PR2"/>
      </w:pPr>
      <w:r w:rsidRPr="00D939CE">
        <w:t>Frame Finish:</w:t>
      </w:r>
      <w:r w:rsidR="003C186D" w:rsidRPr="00D939CE">
        <w:t xml:space="preserve"> </w:t>
      </w:r>
      <w:r w:rsidR="00362B3B" w:rsidRPr="00D939CE">
        <w:t>As selected by Architect from manufacturer's full range</w:t>
      </w:r>
    </w:p>
    <w:p w:rsidR="006B754A" w:rsidRPr="00D939CE" w:rsidRDefault="006B754A">
      <w:pPr>
        <w:pStyle w:val="PR2"/>
      </w:pPr>
      <w:r w:rsidRPr="00D939CE">
        <w:t>Frame Color:</w:t>
      </w:r>
      <w:r w:rsidR="003C186D" w:rsidRPr="00D939CE">
        <w:t xml:space="preserve"> </w:t>
      </w:r>
      <w:r w:rsidRPr="00D939CE">
        <w:t>As selected by Architect from manufacturer's full range</w:t>
      </w:r>
    </w:p>
    <w:p w:rsidR="006B754A" w:rsidRPr="00990B54" w:rsidRDefault="006B754A">
      <w:pPr>
        <w:pStyle w:val="PR1"/>
      </w:pPr>
      <w:r w:rsidRPr="00990B54">
        <w:t>Hardware:</w:t>
      </w:r>
      <w:r w:rsidR="003C186D" w:rsidRPr="00990B54">
        <w:t xml:space="preserve"> </w:t>
      </w:r>
      <w:r w:rsidRPr="00990B54">
        <w:t>As selected by Architect from manufacturer's full range</w:t>
      </w:r>
      <w:r w:rsidR="00362B3B" w:rsidRPr="00990B54">
        <w:t xml:space="preserve"> </w:t>
      </w:r>
      <w:r w:rsidR="00CD2ADC" w:rsidRPr="00990B54">
        <w:t>but compatible with door frame system</w:t>
      </w:r>
      <w:r w:rsidRPr="00990B54">
        <w:t>.</w:t>
      </w:r>
    </w:p>
    <w:p w:rsidR="006B754A" w:rsidRDefault="006B754A">
      <w:pPr>
        <w:pStyle w:val="PR1"/>
      </w:pPr>
      <w:r>
        <w:t>Electrical Devices:</w:t>
      </w:r>
      <w:r w:rsidR="003C186D">
        <w:t xml:space="preserve"> </w:t>
      </w:r>
      <w:r>
        <w:t>Integral, concealed raceways to serve electrical power and communication devices indicated on Drawings.</w:t>
      </w:r>
    </w:p>
    <w:p w:rsidR="006B754A" w:rsidRDefault="006B754A">
      <w:pPr>
        <w:pStyle w:val="PR2"/>
        <w:spacing w:before="240"/>
      </w:pPr>
      <w:r>
        <w:lastRenderedPageBreak/>
        <w:t>Electrical Components, Devices, and Accessories:</w:t>
      </w:r>
      <w:r w:rsidR="003C186D">
        <w:t xml:space="preserve"> </w:t>
      </w:r>
      <w:r>
        <w:t>Listed and labeled as defined in NFPA 70, Article 100, by a qualified testing agency, and marked for intended location and application.</w:t>
      </w:r>
    </w:p>
    <w:p w:rsidR="006B754A" w:rsidRDefault="006B754A">
      <w:pPr>
        <w:pStyle w:val="ART"/>
      </w:pPr>
      <w:r>
        <w:t>FABRICATION</w:t>
      </w:r>
    </w:p>
    <w:p w:rsidR="006B754A" w:rsidRDefault="006B754A">
      <w:pPr>
        <w:pStyle w:val="PR1"/>
      </w:pPr>
      <w:r>
        <w:t>General:</w:t>
      </w:r>
      <w:r w:rsidR="003C186D">
        <w:t xml:space="preserve"> </w:t>
      </w:r>
      <w:r>
        <w:t>Fabricate demountable walls for installation with concealed fastening devices and pressure-fit members that will not damage ceiling or floor coverings.</w:t>
      </w:r>
      <w:r w:rsidR="003C186D">
        <w:t xml:space="preserve"> </w:t>
      </w:r>
      <w:r>
        <w:t>Fabricate systems for installation with continuous seals at floor, ceiling, and other locations where partitions abut fixed construction.</w:t>
      </w:r>
    </w:p>
    <w:p w:rsidR="006B754A" w:rsidRDefault="006B754A">
      <w:pPr>
        <w:pStyle w:val="PR1"/>
      </w:pPr>
      <w:r>
        <w:t>Panels for Site-Assembled Demountable Partitions:</w:t>
      </w:r>
      <w:r w:rsidR="003C186D">
        <w:t xml:space="preserve"> </w:t>
      </w:r>
      <w:r>
        <w:t>Face panels fabricated and finished in modular widths indicated.</w:t>
      </w:r>
    </w:p>
    <w:p w:rsidR="006B754A" w:rsidRDefault="006B754A">
      <w:pPr>
        <w:pStyle w:val="PR2"/>
        <w:spacing w:before="240"/>
      </w:pPr>
      <w:r>
        <w:t>Factory glaze</w:t>
      </w:r>
      <w:r w:rsidR="00AA6F3F">
        <w:t>d</w:t>
      </w:r>
      <w:r>
        <w:t xml:space="preserve"> panels to the greatest extent possible.</w:t>
      </w:r>
    </w:p>
    <w:p w:rsidR="006B754A" w:rsidRDefault="006B754A">
      <w:pPr>
        <w:pStyle w:val="PR1"/>
      </w:pPr>
      <w:r>
        <w:t>Finish Facings:</w:t>
      </w:r>
      <w:r w:rsidR="003C186D">
        <w:t xml:space="preserve"> </w:t>
      </w:r>
      <w:r w:rsidR="00AA6F3F">
        <w:t>A</w:t>
      </w:r>
      <w:r>
        <w:t>pply finish-facing materials with appropriate backings, using mildew-resistant non</w:t>
      </w:r>
      <w:r w:rsidR="00F43479">
        <w:t>-</w:t>
      </w:r>
      <w:r>
        <w:t>staining adhesive as recommended by finish-material manufacturer's written instructions.</w:t>
      </w:r>
    </w:p>
    <w:p w:rsidR="006B754A" w:rsidRDefault="00F620A1">
      <w:pPr>
        <w:pStyle w:val="PR2"/>
        <w:spacing w:before="240"/>
      </w:pPr>
      <w:r>
        <w:t xml:space="preserve">Apply facing to </w:t>
      </w:r>
      <w:r w:rsidRPr="007F5B47">
        <w:t xml:space="preserve">panel </w:t>
      </w:r>
      <w:r w:rsidR="006B754A" w:rsidRPr="007F5B47">
        <w:t>in one piece, seamless</w:t>
      </w:r>
      <w:r w:rsidRPr="007F5B47">
        <w:t xml:space="preserve"> </w:t>
      </w:r>
      <w:r w:rsidR="006B754A" w:rsidRPr="007F5B47">
        <w:t>and</w:t>
      </w:r>
      <w:r w:rsidR="006B754A">
        <w:t xml:space="preserve"> with no gaps or overlaps; free of air bubbles, wrinkles, blisters, or other defects.</w:t>
      </w:r>
    </w:p>
    <w:p w:rsidR="006B754A" w:rsidRDefault="006B754A">
      <w:pPr>
        <w:pStyle w:val="PR1"/>
      </w:pPr>
      <w:r>
        <w:t>Wiring:</w:t>
      </w:r>
      <w:r w:rsidR="003C186D">
        <w:t xml:space="preserve"> </w:t>
      </w:r>
      <w:r>
        <w:t>Conceal conductors and cables in raceways.</w:t>
      </w:r>
      <w:r w:rsidR="003C186D">
        <w:t xml:space="preserve"> </w:t>
      </w:r>
      <w:r>
        <w:t>Bundle, lace, and train conductors to terminal points with no excess and without exceeding manufacturer's limitations on bending radii.</w:t>
      </w:r>
    </w:p>
    <w:p w:rsidR="006B754A" w:rsidRDefault="006B754A">
      <w:pPr>
        <w:pStyle w:val="ART"/>
      </w:pPr>
      <w:r>
        <w:t>OTHER MATERIALS</w:t>
      </w:r>
    </w:p>
    <w:p w:rsidR="006B754A" w:rsidRPr="00B11389" w:rsidRDefault="006B754A">
      <w:pPr>
        <w:pStyle w:val="PR1"/>
      </w:pPr>
      <w:r w:rsidRPr="00B11389">
        <w:t>Adhesives:</w:t>
      </w:r>
      <w:r w:rsidR="003C186D" w:rsidRPr="00B11389">
        <w:t xml:space="preserve"> </w:t>
      </w:r>
      <w:r w:rsidRPr="00B11389">
        <w:t>As recommended by demountable-partition manufact</w:t>
      </w:r>
      <w:r w:rsidR="00B11389" w:rsidRPr="00B11389">
        <w:t>urer.</w:t>
      </w:r>
    </w:p>
    <w:p w:rsidR="006B754A" w:rsidRDefault="006B754A">
      <w:pPr>
        <w:pStyle w:val="ART"/>
      </w:pPr>
      <w:r>
        <w:t>GENERAL FINISH REQUIREMENTS</w:t>
      </w:r>
    </w:p>
    <w:p w:rsidR="006B754A" w:rsidRDefault="006B754A">
      <w:pPr>
        <w:pStyle w:val="PR1"/>
      </w:pPr>
      <w:r>
        <w:t>Protect mechanical finishes on exposed surfaces from damage by applying a strippable, temporary protective covering before shipping.</w:t>
      </w:r>
    </w:p>
    <w:p w:rsidR="006B754A" w:rsidRDefault="006B754A">
      <w:pPr>
        <w:pStyle w:val="PR1"/>
      </w:pPr>
      <w:r>
        <w:t>Appearance of Finished Work:</w:t>
      </w:r>
      <w:r w:rsidR="003C186D">
        <w:t xml:space="preserve"> </w:t>
      </w:r>
      <w:r>
        <w:t>Noticeable variations in same piece are not acceptable.</w:t>
      </w:r>
      <w:r w:rsidR="003C186D">
        <w:t xml:space="preserve"> </w:t>
      </w:r>
      <w:r>
        <w:t>Variations in appearance of adjoining components are acceptable if they are within the range of approved Samples and are assembled or installed to minimize contrast.</w:t>
      </w:r>
    </w:p>
    <w:p w:rsidR="006B754A" w:rsidRDefault="006B754A">
      <w:pPr>
        <w:pStyle w:val="PRT"/>
      </w:pPr>
      <w:r>
        <w:t>EXECUTION</w:t>
      </w:r>
    </w:p>
    <w:p w:rsidR="006B754A" w:rsidRDefault="006B754A">
      <w:pPr>
        <w:pStyle w:val="ART"/>
      </w:pPr>
      <w:r>
        <w:t>INSTALLATION</w:t>
      </w:r>
    </w:p>
    <w:p w:rsidR="006B754A" w:rsidRDefault="006B754A">
      <w:pPr>
        <w:pStyle w:val="PR1"/>
      </w:pPr>
      <w:r>
        <w:t>General:</w:t>
      </w:r>
      <w:r w:rsidR="003C186D">
        <w:t xml:space="preserve"> </w:t>
      </w:r>
      <w:r>
        <w:t>Install demountable partitions after other finishing operations have been completed.</w:t>
      </w:r>
    </w:p>
    <w:p w:rsidR="006B754A" w:rsidRDefault="006B754A">
      <w:pPr>
        <w:pStyle w:val="PR2"/>
        <w:spacing w:before="240"/>
      </w:pPr>
      <w:r>
        <w:t>Install partitions rigid, level, plumb, and aligned.</w:t>
      </w:r>
      <w:r w:rsidR="003C186D">
        <w:t xml:space="preserve"> </w:t>
      </w:r>
      <w:r>
        <w:t>Install seals at connections with floors, ceilings, fixed walls, and abutting surfaces to prevent light and sound transmission.</w:t>
      </w:r>
    </w:p>
    <w:p w:rsidR="006B754A" w:rsidRDefault="006B754A">
      <w:pPr>
        <w:pStyle w:val="PR2"/>
      </w:pPr>
      <w:r>
        <w:lastRenderedPageBreak/>
        <w:t>Broken, cracked, chipped, deformed, or unmatched panels and components are not acceptable.</w:t>
      </w:r>
    </w:p>
    <w:p w:rsidR="006B754A" w:rsidRDefault="006B754A">
      <w:pPr>
        <w:pStyle w:val="PR2"/>
      </w:pPr>
      <w:r>
        <w:t>Except for filler panels scribed to fixed walls or columns, do not modify manufacturer's standard components.</w:t>
      </w:r>
    </w:p>
    <w:p w:rsidR="006B754A" w:rsidRPr="00116D8C" w:rsidRDefault="006B754A">
      <w:pPr>
        <w:pStyle w:val="PR1"/>
        <w:rPr>
          <w:color w:val="FF0000"/>
        </w:rPr>
      </w:pPr>
      <w:r>
        <w:t>Suspended-Ceiling System</w:t>
      </w:r>
      <w:r w:rsidRPr="00116D8C">
        <w:t>:</w:t>
      </w:r>
      <w:r w:rsidR="003C186D" w:rsidRPr="00116D8C">
        <w:t xml:space="preserve"> </w:t>
      </w:r>
      <w:r w:rsidRPr="00116D8C">
        <w:t>Make alterations to suspended-ceiling system required by partition installation or to gain access to electrical or communication systems without affecting the structural integrity of suspended-ceiling system.</w:t>
      </w:r>
    </w:p>
    <w:p w:rsidR="006B754A" w:rsidRDefault="006B754A">
      <w:pPr>
        <w:pStyle w:val="PR1"/>
      </w:pPr>
      <w:r>
        <w:t>Doors and Frames:</w:t>
      </w:r>
      <w:r w:rsidR="003C186D">
        <w:t xml:space="preserve"> </w:t>
      </w:r>
      <w:r>
        <w:t>Install door-and-frame</w:t>
      </w:r>
      <w:r w:rsidR="00664A5D">
        <w:t xml:space="preserve"> </w:t>
      </w:r>
      <w:r>
        <w:t>assemblies securely anchored to partitions and with doors aligned and fitted.</w:t>
      </w:r>
      <w:r w:rsidR="003C186D">
        <w:t xml:space="preserve"> </w:t>
      </w:r>
      <w:r>
        <w:t>Install and adjust door hardware for proper operation.</w:t>
      </w:r>
    </w:p>
    <w:p w:rsidR="006B754A" w:rsidRDefault="006B754A">
      <w:pPr>
        <w:pStyle w:val="ART"/>
      </w:pPr>
      <w:r>
        <w:t>ERECTION TOLERANCES</w:t>
      </w:r>
    </w:p>
    <w:p w:rsidR="006B754A" w:rsidRDefault="006B754A">
      <w:pPr>
        <w:pStyle w:val="PR1"/>
      </w:pPr>
      <w:r>
        <w:t xml:space="preserve">Install each demountable partition so surfaces vary not more than </w:t>
      </w:r>
      <w:r>
        <w:rPr>
          <w:rStyle w:val="IP"/>
        </w:rPr>
        <w:t>1/8 inch</w:t>
      </w:r>
      <w:r>
        <w:rPr>
          <w:rStyle w:val="SI"/>
        </w:rPr>
        <w:t xml:space="preserve"> (3 mm)</w:t>
      </w:r>
      <w:r>
        <w:t xml:space="preserve"> from the plane formed by the faces of adjacent partitions.</w:t>
      </w:r>
    </w:p>
    <w:p w:rsidR="006B754A" w:rsidRDefault="006B754A">
      <w:pPr>
        <w:pStyle w:val="ART"/>
      </w:pPr>
      <w:r>
        <w:t>ADJUSTING</w:t>
      </w:r>
    </w:p>
    <w:p w:rsidR="006B754A" w:rsidRDefault="006B754A">
      <w:pPr>
        <w:pStyle w:val="PR1"/>
      </w:pPr>
      <w:r>
        <w:t>Inspect installation, correct misalignments, and tighten loose connections.</w:t>
      </w:r>
    </w:p>
    <w:p w:rsidR="006B754A" w:rsidRDefault="006B754A">
      <w:pPr>
        <w:pStyle w:val="PR1"/>
      </w:pPr>
      <w:r>
        <w:t>Adjust doors to operate smoothly and easily, without binding or warping.</w:t>
      </w:r>
    </w:p>
    <w:p w:rsidR="006B754A" w:rsidRDefault="006B754A">
      <w:pPr>
        <w:pStyle w:val="PR1"/>
      </w:pPr>
      <w:r>
        <w:t>Check and readjust operating hardware.</w:t>
      </w:r>
      <w:r w:rsidR="003C186D">
        <w:t xml:space="preserve"> </w:t>
      </w:r>
      <w:r>
        <w:t>Verify that latches and locks engage accurately and securely without forcing or binding; lubricate as recommended by manufacturer.</w:t>
      </w:r>
    </w:p>
    <w:p w:rsidR="006B754A" w:rsidRDefault="006B754A">
      <w:pPr>
        <w:pStyle w:val="PR1"/>
      </w:pPr>
      <w:r>
        <w:t>Clean soiled surfaces to remove dirt, fingerprints, adhesives, and other foreign materials according to manufacturer's written instructions.</w:t>
      </w:r>
    </w:p>
    <w:p w:rsidR="006B754A" w:rsidRDefault="006B754A">
      <w:pPr>
        <w:pStyle w:val="PR1"/>
      </w:pPr>
      <w:r>
        <w:t>Remove and replace defaced or damaged components</w:t>
      </w:r>
      <w:r w:rsidR="003F42F0" w:rsidRPr="003F42F0">
        <w:t xml:space="preserve"> </w:t>
      </w:r>
      <w:r w:rsidRPr="003F42F0">
        <w:t>that cannot be satisfactorily repaired</w:t>
      </w:r>
      <w:r>
        <w:t>.</w:t>
      </w:r>
    </w:p>
    <w:p w:rsidR="006B754A" w:rsidRDefault="006B754A">
      <w:pPr>
        <w:pStyle w:val="PR1"/>
      </w:pPr>
      <w:r>
        <w:t>Remove and replace components that are wet, moisture damaged, or mold damaged.</w:t>
      </w:r>
    </w:p>
    <w:p w:rsidR="006B754A" w:rsidRDefault="006B754A">
      <w:pPr>
        <w:pStyle w:val="ART"/>
      </w:pPr>
      <w:r>
        <w:t>DEMONSTRATION</w:t>
      </w:r>
    </w:p>
    <w:p w:rsidR="006B754A" w:rsidRDefault="006B754A">
      <w:pPr>
        <w:pStyle w:val="PR1"/>
      </w:pPr>
      <w:r>
        <w:t>Engage a factory-authorized service representative to train Owner's maintenance personnel to adjust, operate, and maintain demountable partitions.</w:t>
      </w:r>
    </w:p>
    <w:p w:rsidR="006B754A" w:rsidRDefault="005E337A">
      <w:pPr>
        <w:pStyle w:val="EOS"/>
      </w:pPr>
      <w:r>
        <w:t>END OF SECTION</w:t>
      </w:r>
    </w:p>
    <w:sectPr w:rsidR="006B754A" w:rsidSect="008106E7">
      <w:headerReference w:type="default" r:id="rId7"/>
      <w:footerReference w:type="default" r:id="rId8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B51" w:rsidRDefault="002F1B51">
      <w:r>
        <w:separator/>
      </w:r>
    </w:p>
  </w:endnote>
  <w:endnote w:type="continuationSeparator" w:id="0">
    <w:p w:rsidR="002F1B51" w:rsidRDefault="002F1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65" w:type="dxa"/>
        <w:right w:w="65" w:type="dxa"/>
      </w:tblCellMar>
      <w:tblLook w:val="0000"/>
    </w:tblPr>
    <w:tblGrid>
      <w:gridCol w:w="7632"/>
      <w:gridCol w:w="1872"/>
    </w:tblGrid>
    <w:tr w:rsidR="006B754A">
      <w:tc>
        <w:tcPr>
          <w:tcW w:w="7632" w:type="dxa"/>
        </w:tcPr>
        <w:p w:rsidR="006B754A" w:rsidRDefault="006B754A">
          <w:pPr>
            <w:pStyle w:val="FTR"/>
          </w:pPr>
          <w:r>
            <w:rPr>
              <w:rStyle w:val="NAM"/>
            </w:rPr>
            <w:t>DEMOUNTABLE PARTITIONS</w:t>
          </w:r>
        </w:p>
      </w:tc>
      <w:tc>
        <w:tcPr>
          <w:tcW w:w="1872" w:type="dxa"/>
        </w:tcPr>
        <w:p w:rsidR="006B754A" w:rsidRDefault="006B754A">
          <w:pPr>
            <w:pStyle w:val="RJUST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B51" w:rsidRDefault="002F1B51">
      <w:r>
        <w:separator/>
      </w:r>
    </w:p>
  </w:footnote>
  <w:footnote w:type="continuationSeparator" w:id="0">
    <w:p w:rsidR="002F1B51" w:rsidRDefault="002F1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4A" w:rsidRDefault="00275D3E">
    <w:pPr>
      <w:pStyle w:val="HDR"/>
    </w:pPr>
    <w:r>
      <w:rPr>
        <w:rStyle w:val="CPR"/>
      </w:rPr>
      <w:t>Lindner Life 137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A422F8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left" w:pos="1427"/>
        </w:tabs>
        <w:ind w:left="1427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/>
  <w:docVars>
    <w:docVar w:name="DOI" w:val="11/01/11"/>
    <w:docVar w:name="Format" w:val="1"/>
    <w:docVar w:name="MF04" w:val="102219"/>
    <w:docVar w:name="MF95" w:val="10615"/>
    <w:docVar w:name="SectionID" w:val="337"/>
    <w:docVar w:name="SpecType" w:val="MasterSpec"/>
    <w:docVar w:name="Version" w:val="5497"/>
  </w:docVars>
  <w:rsids>
    <w:rsidRoot w:val="0080572B"/>
    <w:rsid w:val="0000373E"/>
    <w:rsid w:val="00033B08"/>
    <w:rsid w:val="0004195E"/>
    <w:rsid w:val="00044905"/>
    <w:rsid w:val="00095118"/>
    <w:rsid w:val="000A1ED4"/>
    <w:rsid w:val="000E1133"/>
    <w:rsid w:val="000E6C59"/>
    <w:rsid w:val="000F2F4A"/>
    <w:rsid w:val="001003AC"/>
    <w:rsid w:val="001019DB"/>
    <w:rsid w:val="001047B5"/>
    <w:rsid w:val="00107603"/>
    <w:rsid w:val="00116D8C"/>
    <w:rsid w:val="0013087D"/>
    <w:rsid w:val="00145096"/>
    <w:rsid w:val="0014613E"/>
    <w:rsid w:val="00164EB2"/>
    <w:rsid w:val="001912B5"/>
    <w:rsid w:val="001A6394"/>
    <w:rsid w:val="001B0404"/>
    <w:rsid w:val="001B231B"/>
    <w:rsid w:val="001B4FC7"/>
    <w:rsid w:val="001F3E77"/>
    <w:rsid w:val="0020674B"/>
    <w:rsid w:val="00213B56"/>
    <w:rsid w:val="002258FA"/>
    <w:rsid w:val="00243655"/>
    <w:rsid w:val="00260536"/>
    <w:rsid w:val="00275D3E"/>
    <w:rsid w:val="002A4841"/>
    <w:rsid w:val="002F1B51"/>
    <w:rsid w:val="002F6125"/>
    <w:rsid w:val="00323676"/>
    <w:rsid w:val="00330EED"/>
    <w:rsid w:val="00362B3B"/>
    <w:rsid w:val="00371209"/>
    <w:rsid w:val="003A2456"/>
    <w:rsid w:val="003C186D"/>
    <w:rsid w:val="003D0672"/>
    <w:rsid w:val="003F42F0"/>
    <w:rsid w:val="00404BF9"/>
    <w:rsid w:val="00407057"/>
    <w:rsid w:val="00415209"/>
    <w:rsid w:val="004318C7"/>
    <w:rsid w:val="00444497"/>
    <w:rsid w:val="004B6D27"/>
    <w:rsid w:val="004C7F6A"/>
    <w:rsid w:val="004E5157"/>
    <w:rsid w:val="004F6451"/>
    <w:rsid w:val="00501590"/>
    <w:rsid w:val="00532C9A"/>
    <w:rsid w:val="0054111A"/>
    <w:rsid w:val="00545D8D"/>
    <w:rsid w:val="0055072B"/>
    <w:rsid w:val="00562CB1"/>
    <w:rsid w:val="00586D66"/>
    <w:rsid w:val="005937A8"/>
    <w:rsid w:val="005B4A66"/>
    <w:rsid w:val="005D04EB"/>
    <w:rsid w:val="005E337A"/>
    <w:rsid w:val="00636BA1"/>
    <w:rsid w:val="00641020"/>
    <w:rsid w:val="0064637A"/>
    <w:rsid w:val="00664A5D"/>
    <w:rsid w:val="006B754A"/>
    <w:rsid w:val="006C7913"/>
    <w:rsid w:val="006E6C8A"/>
    <w:rsid w:val="007145C7"/>
    <w:rsid w:val="00724A1F"/>
    <w:rsid w:val="00726975"/>
    <w:rsid w:val="00730DC9"/>
    <w:rsid w:val="0074083C"/>
    <w:rsid w:val="00745121"/>
    <w:rsid w:val="0077484A"/>
    <w:rsid w:val="0078205D"/>
    <w:rsid w:val="007C2F97"/>
    <w:rsid w:val="007E3D54"/>
    <w:rsid w:val="007F5B47"/>
    <w:rsid w:val="007F7D05"/>
    <w:rsid w:val="0080076D"/>
    <w:rsid w:val="0080572B"/>
    <w:rsid w:val="00810580"/>
    <w:rsid w:val="008106E7"/>
    <w:rsid w:val="00823465"/>
    <w:rsid w:val="00865BC7"/>
    <w:rsid w:val="00891D4E"/>
    <w:rsid w:val="00892B12"/>
    <w:rsid w:val="008C2FDF"/>
    <w:rsid w:val="008F1B13"/>
    <w:rsid w:val="009243C6"/>
    <w:rsid w:val="00964E71"/>
    <w:rsid w:val="0098412E"/>
    <w:rsid w:val="00990B54"/>
    <w:rsid w:val="009A29BD"/>
    <w:rsid w:val="009A442C"/>
    <w:rsid w:val="009E4BEB"/>
    <w:rsid w:val="009E777A"/>
    <w:rsid w:val="009F0D95"/>
    <w:rsid w:val="00A00E7C"/>
    <w:rsid w:val="00A130DC"/>
    <w:rsid w:val="00A302E4"/>
    <w:rsid w:val="00A42BE1"/>
    <w:rsid w:val="00A442DF"/>
    <w:rsid w:val="00A815D7"/>
    <w:rsid w:val="00AA6F3F"/>
    <w:rsid w:val="00AF7423"/>
    <w:rsid w:val="00B11389"/>
    <w:rsid w:val="00B47AA3"/>
    <w:rsid w:val="00B5335D"/>
    <w:rsid w:val="00B90D69"/>
    <w:rsid w:val="00B90FEE"/>
    <w:rsid w:val="00BE1CFD"/>
    <w:rsid w:val="00BE599E"/>
    <w:rsid w:val="00C079D5"/>
    <w:rsid w:val="00C20D3E"/>
    <w:rsid w:val="00C23E51"/>
    <w:rsid w:val="00C4235E"/>
    <w:rsid w:val="00C53319"/>
    <w:rsid w:val="00C574D1"/>
    <w:rsid w:val="00C6742C"/>
    <w:rsid w:val="00C80DE5"/>
    <w:rsid w:val="00CD2ADC"/>
    <w:rsid w:val="00CD68C5"/>
    <w:rsid w:val="00CF7511"/>
    <w:rsid w:val="00D1524C"/>
    <w:rsid w:val="00D44354"/>
    <w:rsid w:val="00D939CE"/>
    <w:rsid w:val="00DF2BB6"/>
    <w:rsid w:val="00DF4084"/>
    <w:rsid w:val="00E17B48"/>
    <w:rsid w:val="00E2070C"/>
    <w:rsid w:val="00E41E61"/>
    <w:rsid w:val="00E61035"/>
    <w:rsid w:val="00E71321"/>
    <w:rsid w:val="00E970A8"/>
    <w:rsid w:val="00EA4DF0"/>
    <w:rsid w:val="00EA74B0"/>
    <w:rsid w:val="00ED4334"/>
    <w:rsid w:val="00F06504"/>
    <w:rsid w:val="00F15189"/>
    <w:rsid w:val="00F17FD9"/>
    <w:rsid w:val="00F24697"/>
    <w:rsid w:val="00F4004E"/>
    <w:rsid w:val="00F43479"/>
    <w:rsid w:val="00F56728"/>
    <w:rsid w:val="00F620A1"/>
    <w:rsid w:val="00F75BB1"/>
    <w:rsid w:val="00F9220D"/>
    <w:rsid w:val="00F95DD0"/>
    <w:rsid w:val="00FC0B50"/>
    <w:rsid w:val="00FC27A5"/>
    <w:rsid w:val="00FD1EE2"/>
    <w:rsid w:val="00FD21D2"/>
    <w:rsid w:val="00FE191F"/>
    <w:rsid w:val="00FE6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E7"/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8106E7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106E7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106E7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8106E7"/>
    <w:pPr>
      <w:keepNext/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rsid w:val="008106E7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8106E7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8106E7"/>
    <w:pPr>
      <w:keepNext/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rsid w:val="008106E7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8106E7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8106E7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8106E7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8106E7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8106E7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106E7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106E7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106E7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106E7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106E7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106E7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106E7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106E7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106E7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106E7"/>
    <w:pPr>
      <w:suppressAutoHyphens/>
    </w:pPr>
  </w:style>
  <w:style w:type="paragraph" w:customStyle="1" w:styleId="TCE">
    <w:name w:val="TCE"/>
    <w:basedOn w:val="Normal"/>
    <w:rsid w:val="008106E7"/>
    <w:pPr>
      <w:suppressAutoHyphens/>
      <w:ind w:left="144" w:hanging="144"/>
    </w:pPr>
  </w:style>
  <w:style w:type="paragraph" w:customStyle="1" w:styleId="EOS">
    <w:name w:val="EOS"/>
    <w:basedOn w:val="Normal"/>
    <w:rsid w:val="008106E7"/>
    <w:pPr>
      <w:suppressAutoHyphens/>
      <w:spacing w:before="480"/>
      <w:jc w:val="both"/>
    </w:pPr>
  </w:style>
  <w:style w:type="paragraph" w:customStyle="1" w:styleId="ANT">
    <w:name w:val="ANT"/>
    <w:basedOn w:val="Normal"/>
    <w:rsid w:val="008106E7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8106E7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106E7"/>
  </w:style>
  <w:style w:type="character" w:customStyle="1" w:styleId="SPN">
    <w:name w:val="SPN"/>
    <w:basedOn w:val="DefaultParagraphFont"/>
    <w:rsid w:val="008106E7"/>
  </w:style>
  <w:style w:type="character" w:customStyle="1" w:styleId="SPD">
    <w:name w:val="SPD"/>
    <w:basedOn w:val="DefaultParagraphFont"/>
    <w:rsid w:val="008106E7"/>
  </w:style>
  <w:style w:type="character" w:customStyle="1" w:styleId="NUM">
    <w:name w:val="NUM"/>
    <w:basedOn w:val="DefaultParagraphFont"/>
    <w:rsid w:val="008106E7"/>
  </w:style>
  <w:style w:type="character" w:customStyle="1" w:styleId="NAM">
    <w:name w:val="NAM"/>
    <w:basedOn w:val="DefaultParagraphFont"/>
    <w:rsid w:val="008106E7"/>
  </w:style>
  <w:style w:type="character" w:customStyle="1" w:styleId="SI">
    <w:name w:val="SI"/>
    <w:rsid w:val="008106E7"/>
    <w:rPr>
      <w:color w:val="008080"/>
    </w:rPr>
  </w:style>
  <w:style w:type="character" w:customStyle="1" w:styleId="IP">
    <w:name w:val="IP"/>
    <w:rsid w:val="008106E7"/>
    <w:rPr>
      <w:color w:val="FF0000"/>
    </w:rPr>
  </w:style>
  <w:style w:type="paragraph" w:customStyle="1" w:styleId="RJUST">
    <w:name w:val="RJUST"/>
    <w:basedOn w:val="Normal"/>
    <w:rsid w:val="008106E7"/>
    <w:pPr>
      <w:jc w:val="right"/>
    </w:pPr>
  </w:style>
  <w:style w:type="character" w:customStyle="1" w:styleId="SAhyperlink">
    <w:name w:val="SAhyperlink"/>
    <w:uiPriority w:val="1"/>
    <w:qFormat/>
    <w:rsid w:val="0080572B"/>
    <w:rPr>
      <w:color w:val="E36C0A"/>
      <w:u w:val="single"/>
    </w:rPr>
  </w:style>
  <w:style w:type="character" w:styleId="Hyperlink">
    <w:name w:val="Hyperlink"/>
    <w:uiPriority w:val="99"/>
    <w:unhideWhenUsed/>
    <w:rsid w:val="008057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3B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B56"/>
  </w:style>
  <w:style w:type="paragraph" w:styleId="Footer">
    <w:name w:val="footer"/>
    <w:basedOn w:val="Normal"/>
    <w:link w:val="FooterChar"/>
    <w:uiPriority w:val="99"/>
    <w:unhideWhenUsed/>
    <w:rsid w:val="00213B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B56"/>
  </w:style>
  <w:style w:type="paragraph" w:customStyle="1" w:styleId="TIP">
    <w:name w:val="TIP"/>
    <w:basedOn w:val="Normal"/>
    <w:link w:val="TIPChar"/>
    <w:rsid w:val="003C186D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</w:rPr>
  </w:style>
  <w:style w:type="character" w:customStyle="1" w:styleId="CMTChar">
    <w:name w:val="CMT Char"/>
    <w:link w:val="CMT"/>
    <w:rsid w:val="003C186D"/>
    <w:rPr>
      <w:vanish/>
      <w:color w:val="0000FF"/>
      <w:sz w:val="22"/>
    </w:rPr>
  </w:style>
  <w:style w:type="character" w:customStyle="1" w:styleId="TIPChar">
    <w:name w:val="TIP Char"/>
    <w:link w:val="TIP"/>
    <w:rsid w:val="003C186D"/>
    <w:rPr>
      <w:vanish w:val="0"/>
      <w:color w:val="B30838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436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6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65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6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6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655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107603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1552</Words>
  <Characters>8847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Life 137 Double Glazing</vt:lpstr>
      <vt:lpstr>SECTION 102219 - DEMOUNTABLE PARTITIONS</vt:lpstr>
    </vt:vector>
  </TitlesOfParts>
  <Company>Lindner AG</Company>
  <LinksUpToDate>false</LinksUpToDate>
  <CharactersWithSpaces>10379</CharactersWithSpaces>
  <SharedDoc>false</SharedDoc>
  <HLinks>
    <vt:vector size="6" baseType="variant">
      <vt:variant>
        <vt:i4>3866668</vt:i4>
      </vt:variant>
      <vt:variant>
        <vt:i4>0</vt:i4>
      </vt:variant>
      <vt:variant>
        <vt:i4>0</vt:i4>
      </vt:variant>
      <vt:variant>
        <vt:i4>5</vt:i4>
      </vt:variant>
      <vt:variant>
        <vt:lpwstr>http://www.specagent.com/LookUp/?ulid=632&amp;mf=04&amp;mf=95&amp;src=wd&amp;mf=&amp;src=wd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137 Double Glazing</dc:title>
  <dc:subject>DEMOUNTABLE PARTITIONS</dc:subject>
  <dc:creator>gfiore</dc:creator>
  <cp:lastModifiedBy>gfiore</cp:lastModifiedBy>
  <cp:revision>24</cp:revision>
  <dcterms:created xsi:type="dcterms:W3CDTF">2013-09-12T13:10:00Z</dcterms:created>
  <dcterms:modified xsi:type="dcterms:W3CDTF">2015-04-02T12:10:00Z</dcterms:modified>
</cp:coreProperties>
</file>